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T1614</w:t>
      </w:r>
    </w:p>
    <w:p>
      <w:pPr>
        <w:pStyle w:val="Heading2"/>
      </w:pPr>
      <w:r>
        <w:t>TTP Information</w:t>
      </w:r>
    </w:p>
    <w:p>
      <w:r>
        <w:t>Name: System Location Discovery</w:t>
      </w:r>
    </w:p>
    <w:p>
      <w:r>
        <w:t xml:space="preserve">Description: </w:t>
        <w:br/>
        <w:t>Adversaries may gather information in an attempt to calculate the geographical location of a victim host. Adversaries may use the information from [System Location Discovery](https://attack.mitre.org/techniques/T1614) during automated discovery to shape follow-on behaviors, including whether or not the adversary fully infects the target and/or attempts specific actions.</w:t>
        <w:br/>
        <w:br/>
        <w:t>Adversaries may attempt to infer the location of a system using various system checks, such as time zone, keyboard layout, and/or language settings.(Citation: FBI Ragnar Locker 2020)(Citation: Sophos Geolocation 2016)(Citation: Bleepingcomputer RAT malware 2020) Windows API functions such as &lt;code&gt;GetLocaleInfoW&lt;/code&gt; can also be used to determine the locale of the host.(Citation: FBI Ragnar Locker 2020) In cloud environments, an instance's availability zone may also be discovered by accessing the instance metadata service from the instance.(Citation: AWS Instance Identity Documents)(Citation: Microsoft Azure Instance Metadata 2021)</w:t>
        <w:br/>
        <w:br/>
        <w:t>Adversaries may also attempt to infer the location of a victim host using IP addressing, such as via online geolocation IP-lookup services.(Citation: Securelist Trasparent Tribe 2020)(Citation: Sophos Geolocation 2016)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Amadey</w:t>
      </w:r>
    </w:p>
    <w:p>
      <w:pPr>
        <w:pStyle w:val="ListBullet"/>
      </w:pPr>
      <w:r>
        <w:t>Crimson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GrimAgent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Ragnar Locker</w:t>
      </w:r>
    </w:p>
    <w:p>
      <w:pPr>
        <w:pStyle w:val="ListBullet"/>
      </w:pPr>
      <w:r>
        <w:t>SDBbot</w:t>
      </w:r>
    </w:p>
    <w:p>
      <w:pPr>
        <w:pStyle w:val="ListBullet"/>
      </w:pPr>
      <w:r>
        <w:t>Saint Bot</w:t>
      </w:r>
    </w:p>
    <w:p>
      <w:pPr>
        <w:pStyle w:val="ListBullet"/>
      </w:pPr>
      <w:r>
        <w:t>SocGholish</w:t>
      </w:r>
    </w:p>
    <w:p>
      <w:pPr>
        <w:pStyle w:val="Heading2"/>
      </w:pPr>
      <w:r>
        <w:t>Tools</w:t>
      </w:r>
    </w:p>
    <w:p>
      <w:pPr>
        <w:pStyle w:val="ListBullet"/>
      </w:pPr>
      <w:r>
        <w:t>QuasarRAT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SideCopy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