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T1612</w:t>
      </w:r>
    </w:p>
    <w:p>
      <w:pPr>
        <w:pStyle w:val="Heading2"/>
      </w:pPr>
      <w:r>
        <w:t>TTP Information</w:t>
      </w:r>
    </w:p>
    <w:p>
      <w:r>
        <w:t>Name: Build Image on Host</w:t>
      </w:r>
    </w:p>
    <w:p>
      <w:r>
        <w:t>Description: Adversaries may build a container image directly on a host to bypass defenses that monitor for the retrieval of malicious images from a public registry. A remote &lt;code&gt;build&lt;/code&gt; request may be sent to the Docker API that includes a Dockerfile that pulls a vanilla base image, such as alpine, from a public or local registry and then builds a custom image upon it.(Citation: Docker Build Image)</w:t>
        <w:br/>
        <w:br/>
        <w:t xml:space="preserve">An adversary may take advantage of that &lt;code&gt;build&lt;/code&gt; API to build a custom image on the host that includes malware downloaded from their C2 server, and then they may utilize [Deploy Container](https://attack.mitre.org/techniques/T1610) using that custom image.(Citation: Aqua Build Images on Hosts)(Citation: Aqua Security Cloud Native Threat Report June 2021) If the base image is pulled from a public registry, defenses will likely not detect the image as malicious since it’s a vanilla image. If the base image already resides in a local registry, the pull may be considered even less suspicious since the image is already in the environment. 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