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T1592.002</w:t>
      </w:r>
    </w:p>
    <w:p>
      <w:pPr>
        <w:pStyle w:val="Heading2"/>
      </w:pPr>
      <w:r>
        <w:t>TTP Information</w:t>
      </w:r>
    </w:p>
    <w:p>
      <w:r>
        <w:t>Name: Software</w:t>
      </w:r>
    </w:p>
    <w:p>
      <w:r>
        <w:t>Description: Adversaries may gather information about the victim's host software that can be used during targeting. Information about installed software may include a variety of details such as types and versions on specific hosts, as well as the presence of additional components that might be indicative of added defensive protections (ex: antivirus, SIEMs, etc.).</w:t>
        <w:br/>
        <w:br/>
        <w:t>Adversaries may gather this information in various ways, such as direct collection actions via [Active Scanning](https://attack.mitre.org/techniques/T1595) (ex: listening ports, server banners, user agent strings) or [Phishing for Information](https://attack.mitre.org/techniques/T1598). Adversaries may also compromise sites then include malicious content designed to collect host information from visitors.(Citation: ATT ScanBox) Information about the installed software may also be exposed to adversaries via online or other accessible data sets (ex: job postings, network maps, assessment reports, resumes, or purchase invoices). Gathering this information may reveal opportunities for other forms of reconnaissance (ex: [Search Open Websites/Domains](https://attack.mitre.org/techniques/T1593) or [Search Open Technical Databases](https://attack.mitre.org/techniques/T1596)), establishing operational resources (ex: [Develop Capabilities](https://attack.mitre.org/techniques/T1587) or [Obtain Capabilities](https://attack.mitre.org/techniques/T1588)), and/or for initial access (ex: [Supply Chain Compromise](https://attack.mitre.org/techniques/T1195) or [External Remote Services](https://attack.mitre.org/techniques/T1133)).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Andariel</w:t>
      </w:r>
    </w:p>
    <w:p>
      <w:pPr>
        <w:pStyle w:val="ListBullet"/>
      </w:pPr>
      <w:r>
        <w:t>Magic Hound</w:t>
      </w:r>
    </w:p>
    <w:p>
      <w:pPr>
        <w:pStyle w:val="ListBullet"/>
      </w:pPr>
      <w:r>
        <w:t>Sandworm 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