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T1590.001</w:t>
      </w:r>
    </w:p>
    <w:p>
      <w:pPr>
        <w:pStyle w:val="Heading2"/>
      </w:pPr>
      <w:r>
        <w:t>TTP Information</w:t>
      </w:r>
    </w:p>
    <w:p>
      <w:r>
        <w:t>Name: Domain Properties</w:t>
      </w:r>
    </w:p>
    <w:p>
      <w:r>
        <w:t>Description: Adversaries may gather information about the victim's network domain(s) that can be used during targeting. Information about domains and their properties may include a variety of details, including what domain(s) the victim owns as well as administrative data (ex: name, registrar, etc.) and more directly actionable information such as contacts (email addresses and phone numbers), business addresses, and name servers.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 Information about victim domains and their properties may also be exposed to adversaries via online or other accessible data sets (ex: [WHOIS](https://attack.mitre.org/techniques/T1596/002)).(Citation: WHOIS)(Citation: DNS Dumpster)(Citation: Circl Passive DNS) Where third-party cloud providers are in use, this information may also be exposed through publicly available API endpoints, such as GetUserRealm and autodiscover in Office 365 environments.(Citation: Azure Active Directory Reconnaisance)(Citation: Office 265 Azure Domain Availability) Gathering this information may reveal opportunities for other forms of reconnaissance (ex: [Search Open Technical Databases](https://attack.mitre.org/techniques/T1596), [Search Open Websites/Domains](https://attack.mitre.org/techniques/T1593), or [Phishing for Information](https://attack.mitre.org/techniques/T1598)), establishing operational resources (ex: [Acquire Infrastructure](https://attack.mitre.org/techniques/T1583) or [Compromise Infrastructure](https://attack.mitre.org/techniques/T1584)), and/or initial access (ex: [Phishing](https://attack.mitre.org/techniques/T1566)).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Sandworm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