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T1584.005</w:t>
      </w:r>
    </w:p>
    <w:p>
      <w:pPr>
        <w:pStyle w:val="Heading2"/>
      </w:pPr>
      <w:r>
        <w:t>TTP Information</w:t>
      </w:r>
    </w:p>
    <w:p>
      <w:r>
        <w:t>Name: Botnet</w:t>
      </w:r>
    </w:p>
    <w:p>
      <w:r>
        <w:t>Description: Adversaries may compromise numerous third-party systems to form a botnet that can be used during targeting. A botnet is a network of compromised systems that can be instructed to perform coordinated tasks.(Citation: Norton Botnet) Instead of purchasing/renting a botnet from a booter/stresser service, adversaries may build their own botnet by compromising numerous third-party systems.(Citation: Imperva DDoS for Hire) Adversaries may also conduct a takeover of an existing botnet, such as redirecting bots to adversary-controlled C2 servers.(Citation: Dell Dridex Oct 2015) With a botnet at their disposal, adversaries may perform follow-on activity such as large-scale [Phishing](https://attack.mitre.org/techniques/T1566) or Distributed Denial of Service (DDoS).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Axiom</w:t>
      </w:r>
    </w:p>
    <w:p>
      <w:pPr>
        <w:pStyle w:val="ListBullet"/>
      </w:pPr>
      <w:r>
        <w:t>HAFNIUM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