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T1583.005</w:t>
      </w:r>
    </w:p>
    <w:p>
      <w:pPr>
        <w:pStyle w:val="Heading2"/>
      </w:pPr>
      <w:r>
        <w:t>TTP Information</w:t>
      </w:r>
    </w:p>
    <w:p>
      <w:r>
        <w:t>Name: Botnet</w:t>
      </w:r>
    </w:p>
    <w:p>
      <w:r>
        <w:t xml:space="preserve">Description: Adversaries may buy, lease, or rent a network of compromised systems that can be used during targeting. A botnet is a network of compromised systems that can be instructed to perform coordinated tasks.(Citation: Norton Botnet) Adversaries may purchase a subscription to use an existing botnet from a booter/stresser service. </w:t>
        <w:br/>
        <w:br/>
        <w:t xml:space="preserve">Internet-facing edge devices and related network appliances that are end-of-life (EOL) and unsupported by their manufacturers are commonly acquired for botnet activities. Adversaries may lease operational relay box (ORB) networks – consisting of virtual private servers (VPS), small office/home office (SOHO) routers, or Internet of Things (IoT) devices – to serve as a botnet.(Citation: ORB Mandiant) </w:t>
        <w:br/>
        <w:br/>
        <w:t>With a botnet at their disposal, adversaries may perform follow-on activity such as large-scale [Phishing](https://attack.mitre.org/techniques/T1566) or Distributed Denial of Service (DDoS).(Citation: Imperva DDoS for Hire)(Citation: Krebs-Anna)(Citation: Krebs-Bazaar)(Citation: Krebs-Booter) Acquired botnets may also be used to support Command and Control activity, such as [Hide Infrastructure](https://attack.mitre.org/techniques/T1665) through an established [Proxy](https://attack.mitre.org/techniques/T1090) network.</w:t>
        <w:br/>
        <w:br/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APT5</w:t>
      </w:r>
    </w:p>
    <w:p>
      <w:pPr>
        <w:pStyle w:val="ListBullet"/>
      </w:pPr>
      <w:r>
        <w:t>HAFNIUM</w:t>
      </w:r>
    </w:p>
    <w:p>
      <w:pPr>
        <w:pStyle w:val="ListBullet"/>
      </w:pPr>
      <w:r>
        <w:t>Ke3chang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