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T1566</w:t>
      </w:r>
    </w:p>
    <w:p>
      <w:pPr>
        <w:pStyle w:val="Heading2"/>
      </w:pPr>
      <w:r>
        <w:t>TTP Information</w:t>
      </w:r>
    </w:p>
    <w:p>
      <w:r>
        <w:t>Name: Phishing</w:t>
      </w:r>
    </w:p>
    <w:p>
      <w:r>
        <w:t>Description: Adversaries may send phishing messages to gain access to victim systems. All forms of phishing are electronically delivered social engineering. Phishing can be targeted, known as spearphishing. In spearphishing, a specific individual, company, or industry will be targeted by the adversary. More generally, adversaries can conduct non-targeted phishing, such as in mass malware spam campaigns.</w:t>
        <w:br/>
        <w:br/>
        <w:t>Adversaries may send victims emails containing malicious attachments or links, typically to execute malicious code on victim systems. Phishing may also be conducted via third-party services, like social media platforms. Phishing may also involve social engineering techniques, such as posing as a trusted source, as well as evasive techniques such as removing or manipulating emails or metadata/headers from compromised accounts being abused to send messages (e.g., [Email Hiding Rules](https://attack.mitre.org/techniques/T1564/008)).(Citation: Microsoft OAuth Spam 2022)(Citation: Palo Alto Unit 42 VBA Infostealer 2014) Another way to accomplish this is by [Email Spoofing](https://attack.mitre.org/techniques/T1672)(Citation: Proofpoint-spoof) the identity of the sender, which can be used to fool both the human recipient as well as automated security tools,(Citation: cyberproof-double-bounce) or by including the intended target as a party to an existing email thread that includes malicious files or links (i.e., "thread hijacking").(Citation: phishing-krebs)</w:t>
        <w:br/>
        <w:br/>
        <w:t>Victims may also receive phishing messages that instruct them to call a phone number where they are directed to visit a malicious URL, download malware,(Citation: sygnia Luna Month)(Citation: CISA Remote Monitoring and Management Software) or install adversary-accessible remote management tools onto their computer (i.e., [User Execution](https://attack.mitre.org/techniques/T1204)).(Citation: Unit42 Luna Moth)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Hikit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Royal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Axiom</w:t>
      </w:r>
    </w:p>
    <w:p>
      <w:pPr>
        <w:pStyle w:val="ListBullet"/>
      </w:pPr>
      <w:r>
        <w:t>GOLD SOUTHFIELD</w:t>
      </w:r>
    </w:p>
    <w:p>
      <w:pPr>
        <w:pStyle w:val="ListBullet"/>
      </w:pPr>
      <w:r>
        <w:t>INC Ransom</w:t>
      </w:r>
    </w:p>
    <w:p>
      <w:pPr>
        <w:pStyle w:val="ListBullet"/>
      </w:pPr>
      <w:r>
        <w:t>Kimsuky</w:t>
      </w:r>
    </w:p>
    <w:p>
      <w:pPr>
        <w:pStyle w:val="ListBullet"/>
      </w:pPr>
      <w:r>
        <w:t>Sea Turtle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