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T1564.013</w:t>
      </w:r>
    </w:p>
    <w:p>
      <w:pPr>
        <w:pStyle w:val="Heading2"/>
      </w:pPr>
      <w:r>
        <w:t>TTP Information</w:t>
      </w:r>
    </w:p>
    <w:p>
      <w:r>
        <w:t>Name: Bind Mounts</w:t>
      </w:r>
    </w:p>
    <w:p>
      <w:r>
        <w:t xml:space="preserve">Description: Adversaries may abuse bind mounts on file structures to hide their activity and artifacts from native utilities. A bind mount maps a directory or file from one location on the filesystem to another, similar to a shortcut on Windows. It’s commonly used to provide access to specific files or directories across different environments, such as inside containers or chroot environments, and requires sudo access. </w:t>
        <w:br/>
        <w:br/>
        <w:t>Adversaries may use bind mounts to map either an empty directory or a benign `/proc` directory to a malicious process’s `/proc` directory. Using the commands `mount –o bind /proc/benign-process /proc/malicious-process` (or `mount –B`), the malicious process's `/proc` directory is overlayed with the contents of a benign process's `/proc` directory. When system utilities query process activity, such as `ps` and `top`, the kernel follows the bind mount and presents the benign directory’s contents instead of the malicious process's actual `/proc` directory. As a result, these utilities display information that appears to come from the benign process, effectively hiding the malicious process's metadata, executable, or other artifacts from detection.(Citation: Cado Security Commando Cat 2024)(Citation: Ahn Lab CoinMiner 2023)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