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T1500</w:t>
      </w:r>
    </w:p>
    <w:p>
      <w:pPr>
        <w:pStyle w:val="Heading2"/>
      </w:pPr>
      <w:r>
        <w:t>TTP Information</w:t>
      </w:r>
    </w:p>
    <w:p>
      <w:r>
        <w:t>Name: Compile After Delivery</w:t>
      </w:r>
    </w:p>
    <w:p>
      <w:r>
        <w:t>Description: Adversaries may attempt to make payloads difficult to discover and analyze by delivering files to victims as uncompiled code. Similar to [Obfuscated Files or Information](https://attack.mitre.org/techniques/T1027), text-based source code files may subvert analysis and scrutiny from protections targeting executables/binaries. These payloads will need to be compiled before execution; typically via native utilities such as csc.exe or GCC/MinGW.(Citation: ClearSky MuddyWater Nov 2018)</w:t>
        <w:br/>
        <w:br/>
        <w:t>Source code payloads may also be encrypted, encoded, and/or embedded within other files, such as those delivered as a [Spearphishing Attachment](https://attack.mitre.org/techniques/T1193). Payloads may also be delivered in formats unrecognizable and inherently benign to the native OS (ex: EXEs on macOS/Linux) before later being (re)compiled into a proper executable binary with a bundled compiler and execution framework.(Citation: TrendMicro WindowsAppMac)</w:t>
        <w:br/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