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T1491.002</w:t>
      </w:r>
    </w:p>
    <w:p>
      <w:pPr>
        <w:pStyle w:val="Heading2"/>
      </w:pPr>
      <w:r>
        <w:t>TTP Information</w:t>
      </w:r>
    </w:p>
    <w:p>
      <w:r>
        <w:t>Name: External Defacement</w:t>
      </w:r>
    </w:p>
    <w:p>
      <w:r>
        <w:t>Description: An adversary may deface systems external to an organization in an attempt to deliver messaging, intimidate, or otherwise mislead an organization or users. [External Defacement](https://attack.mitre.org/techniques/T1491/002) may ultimately cause users to distrust the systems and to question/discredit the system’s integrity. Externally-facing websites are a common victim of defacement; often targeted by adversary and hacktivist groups in order to push a political message or spread propaganda.(Citation: FireEye Cyber Threats to Media Industries)(Citation: Kevin Mandia Statement to US Senate Committee on Intelligence)(Citation: Anonymous Hackers Deface Russian Govt Site) [External Defacement](https://attack.mitre.org/techniques/T1491/002) may be used as a catalyst to trigger events, or as a response to actions taken by an organization or government. Similarly, website defacement may also be used as setup, or a precursor, for future attacks such as [Drive-by Compromise](https://attack.mitre.org/techniques/T1189).(Citation: Trend Micro Deep Dive Into Defacement)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impact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Ember Bear</w:t>
      </w:r>
    </w:p>
    <w:p>
      <w:pPr>
        <w:pStyle w:val="ListBullet"/>
      </w:pPr>
      <w:r>
        <w:t>Sandworm 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