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T1202</w:t>
      </w:r>
    </w:p>
    <w:p>
      <w:pPr>
        <w:pStyle w:val="Heading2"/>
      </w:pPr>
      <w:r>
        <w:t>TTP Information</w:t>
      </w:r>
    </w:p>
    <w:p>
      <w:r>
        <w:t>Name: Indirect Command Execution</w:t>
      </w:r>
    </w:p>
    <w:p>
      <w:r>
        <w:t>Description: Adversaries may abuse utilities that allow for command execution to bypass security restrictions that limit the use of command-line interpreters. Various Windows utilities may be used to execute commands, possibly without invoking [cmd](https://attack.mitre.org/software/S0106). For example, [Forfiles](https://attack.mitre.org/software/S0193), the Program Compatibility Assistant (`pcalua.exe`), components of the Windows Subsystem for Linux (WSL), `Scriptrunner.exe`, as well as other utilities may invoke the execution of programs and commands from a [Command and Scripting Interpreter](https://attack.mitre.org/techniques/T1059), Run window, or via scripts.(Citation: VectorSec ForFiles Aug 2017)(Citation: Evi1cg Forfiles Nov 2017)(Citation: Secure Team - Scriptrunner.exe)(Citation: SS64)(Citation: Bleeping Computer - Scriptrunner.exe) Adversaries may also abuse the `ssh.exe` binary to execute malicious commands via the `ProxyCommand` and `LocalCommand` options, which can be invoked via the `-o` flag or by modifying the SSH config file.(Citation: Threat Actor Targets the Manufacturing industry with Lumma Stealer and Amadey Bot)</w:t>
        <w:br/>
        <w:br/>
        <w:t>Adversaries may abuse these features for [Defense Evasion](https://attack.mitre.org/tactics/TA0005), specifically to perform arbitrary execution while subverting detections and/or mitigation controls (such as Group Policy) that limit/prevent the usage of [cmd](https://attack.mitre.org/software/S0106) or file extensions more commonly associated with malicious payloads.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Revenge RAT</w:t>
      </w:r>
    </w:p>
    <w:p>
      <w:pPr>
        <w:pStyle w:val="Heading2"/>
      </w:pPr>
      <w:r>
        <w:t>Tools</w:t>
      </w:r>
    </w:p>
    <w:p>
      <w:pPr>
        <w:pStyle w:val="ListBullet"/>
      </w:pPr>
      <w:r>
        <w:t>Forfiles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RedCurl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