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T1137</w:t>
      </w:r>
    </w:p>
    <w:p>
      <w:pPr>
        <w:pStyle w:val="Heading2"/>
      </w:pPr>
      <w:r>
        <w:t>TTP Information</w:t>
      </w:r>
    </w:p>
    <w:p>
      <w:r>
        <w:t>Name: Office Application Startup</w:t>
      </w:r>
    </w:p>
    <w:p>
      <w:r>
        <w:t>Description: Adversaries may leverage Microsoft Office-based applications for persistence between startups. Microsoft Office is a fairly common application suite on Windows-based operating systems within an enterprise network. There are multiple mechanisms that can be used with Office for persistence when an Office-based application is started; this can include the use of Office Template Macros and add-ins.</w:t>
        <w:br/>
        <w:br/>
        <w:t>A variety of features have been discovered in Outlook that can be abused to obtain persistence, such as Outlook rules, forms, and Home Page.(Citation: SensePost Ruler GitHub) These persistence mechanisms can work within Outlook or be used through Office 365.(Citation: TechNet O365 Outlook Rules)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Gamaredon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