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T1137.003</w:t>
      </w:r>
    </w:p>
    <w:p>
      <w:pPr>
        <w:pStyle w:val="Heading2"/>
      </w:pPr>
      <w:r>
        <w:t>TTP Information</w:t>
      </w:r>
    </w:p>
    <w:p>
      <w:r>
        <w:t>Name: Outlook Forms</w:t>
      </w:r>
    </w:p>
    <w:p>
      <w:r>
        <w:t>Description: Adversaries may abuse Microsoft Outlook forms to obtain persistence on a compromised system. Outlook forms are used as templates for presentation and functionality in Outlook messages. Custom Outlook forms can be created that will execute code when a specifically crafted email is sent by an adversary utilizing the same custom Outlook form.(Citation: SensePost Outlook Forms)</w:t>
        <w:br/>
        <w:br/>
        <w:t>Once malicious forms have been added to the user’s mailbox, they will be loaded when Outlook is started. Malicious forms will execute when an adversary sends a specifically crafted email to the user.(Citation: SensePost Outlook Forms)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Tools</w:t>
      </w:r>
    </w:p>
    <w:p>
      <w:pPr>
        <w:pStyle w:val="ListBullet"/>
      </w:pPr>
      <w:r>
        <w:t>Ruler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