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T1136</w:t>
      </w:r>
    </w:p>
    <w:p>
      <w:pPr>
        <w:pStyle w:val="Heading2"/>
      </w:pPr>
      <w:r>
        <w:t>TTP Information</w:t>
      </w:r>
    </w:p>
    <w:p>
      <w:r>
        <w:t>Name: Create Account</w:t>
      </w:r>
    </w:p>
    <w:p>
      <w:r>
        <w:t>Description: Adversaries may create an account to maintain access to victim systems.(Citation: Symantec WastedLocker June 2020) With a sufficient level of access, creating such accounts may be used to establish secondary credentialed access that do not require persistent remote access tools to be deployed on the system.</w:t>
        <w:br/>
        <w:br/>
        <w:t>Accounts may be created on the local system or within a domain or cloud tenant. In cloud environments, adversaries may create accounts that only have access to specific services, which can reduce the chance of detection.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Malware</w:t>
      </w:r>
    </w:p>
    <w:p>
      <w:pPr>
        <w:pStyle w:val="ListBullet"/>
      </w:pPr>
      <w:r>
        <w:t>LockBit 2.0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Salt Typhoon</w:t>
      </w:r>
    </w:p>
    <w:p>
      <w:pPr>
        <w:pStyle w:val="ListBullet"/>
      </w:pPr>
      <w:r>
        <w:t>Scattered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