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T1102.001</w:t>
      </w:r>
    </w:p>
    <w:p>
      <w:pPr>
        <w:pStyle w:val="Heading2"/>
      </w:pPr>
      <w:r>
        <w:t>TTP Information</w:t>
      </w:r>
    </w:p>
    <w:p>
      <w:r>
        <w:t>Name: Dead Drop Resolver</w:t>
      </w:r>
    </w:p>
    <w:p>
      <w:r>
        <w:t>Description: Adversaries may use an existing, legitimate external Web service to host information that points to additional command and control (C2) infrastructure. Adversaries may post content, known as a dead drop resolver, on Web services with embedded (and often obfuscated/encoded) domains or IP addresses. Once infected, victims will reach out to and be redirected by these resolvers.</w:t>
        <w:br/>
        <w:br/>
        <w:t>Popular websites and social media acting as a mechanism for C2 may give a significant amount of cover due to the likelihood that hosts within a network are already communicating with them prior to a compromise. Using common services, such as those offered by Google or Twitter, makes it easier for adversaries to hide in expected noise. Web service providers commonly use SSL/TLS encryption, giving adversaries an added level of protection.</w:t>
        <w:br/>
        <w:br/>
        <w:t>Use of a dead drop resolver may also protect back-end C2 infrastructure from discovery through malware binary analysis while also enabling operational resiliency (since this infrastructure may be dynamically changed).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Astaroth</w:t>
      </w:r>
    </w:p>
    <w:p>
      <w:pPr>
        <w:pStyle w:val="ListBullet"/>
      </w:pPr>
      <w:r>
        <w:t>BADNEWS</w:t>
      </w:r>
    </w:p>
    <w:p>
      <w:pPr>
        <w:pStyle w:val="ListBullet"/>
      </w:pPr>
      <w:r>
        <w:t>BLACKCOFFEE</w:t>
      </w:r>
    </w:p>
    <w:p>
      <w:pPr>
        <w:pStyle w:val="ListBullet"/>
      </w:pPr>
      <w:r>
        <w:t>CharmPower</w:t>
      </w:r>
    </w:p>
    <w:p>
      <w:pPr>
        <w:pStyle w:val="ListBullet"/>
      </w:pPr>
      <w:r>
        <w:t>Grandoreiro</w:t>
      </w:r>
    </w:p>
    <w:p>
      <w:pPr>
        <w:pStyle w:val="ListBullet"/>
      </w:pPr>
      <w:r>
        <w:t>Javali</w:t>
      </w:r>
    </w:p>
    <w:p>
      <w:pPr>
        <w:pStyle w:val="ListBullet"/>
      </w:pPr>
      <w:r>
        <w:t>KEYPLUG</w:t>
      </w:r>
    </w:p>
    <w:p>
      <w:pPr>
        <w:pStyle w:val="ListBullet"/>
      </w:pPr>
      <w:r>
        <w:t>Metamorfo</w:t>
      </w:r>
    </w:p>
    <w:p>
      <w:pPr>
        <w:pStyle w:val="ListBullet"/>
      </w:pPr>
      <w:r>
        <w:t>MiniDuke</w:t>
      </w:r>
    </w:p>
    <w:p>
      <w:pPr>
        <w:pStyle w:val="ListBullet"/>
      </w:pPr>
      <w:r>
        <w:t>PlugX</w:t>
      </w:r>
    </w:p>
    <w:p>
      <w:pPr>
        <w:pStyle w:val="ListBullet"/>
      </w:pPr>
      <w:r>
        <w:t>PolyglotDuke</w:t>
      </w:r>
    </w:p>
    <w:p>
      <w:pPr>
        <w:pStyle w:val="ListBullet"/>
      </w:pPr>
      <w:r>
        <w:t>RTM</w:t>
      </w:r>
    </w:p>
    <w:p>
      <w:pPr>
        <w:pStyle w:val="ListBullet"/>
      </w:pPr>
      <w:r>
        <w:t>TRANSLATEXT</w:t>
      </w:r>
    </w:p>
    <w:p>
      <w:pPr>
        <w:pStyle w:val="ListBullet"/>
      </w:pPr>
      <w:r>
        <w:t>Xbash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APT41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Kimsuky</w:t>
      </w:r>
    </w:p>
    <w:p>
      <w:pPr>
        <w:pStyle w:val="ListBullet"/>
      </w:pPr>
      <w:r>
        <w:t>Patchwork</w:t>
      </w:r>
    </w:p>
    <w:p>
      <w:pPr>
        <w:pStyle w:val="ListBullet"/>
      </w:pPr>
      <w:r>
        <w:t>RTM</w:t>
      </w:r>
    </w:p>
    <w:p>
      <w:pPr>
        <w:pStyle w:val="ListBullet"/>
      </w:pPr>
      <w:r>
        <w:t>Rocke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