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CWE-93</w:t>
      </w:r>
    </w:p>
    <w:p>
      <w:pPr>
        <w:pStyle w:val="Heading2"/>
      </w:pPr>
      <w:r>
        <w:t>Description</w:t>
      </w:r>
    </w:p>
    <w:p>
      <w:r>
        <w:t>The product uses CRLF (carriage return line feeds) as a special element, e.g. to separate lines or records, but it does not neutralize or incorrectly neutralizes CRLF sequences from inputs.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CVE-2002-1771: CRLF injection enables spam proxy (add mail headers) using email address or name.</w:t>
      </w:r>
    </w:p>
    <w:p>
      <w:r>
        <w:rPr>
          <w:b/>
        </w:rPr>
        <w:t xml:space="preserve">• </w:t>
      </w:r>
      <w:r>
        <w:t>CVE-2002-1783: CRLF injection in API function arguments modify headers for outgoing requests.</w:t>
      </w:r>
    </w:p>
    <w:p>
      <w:r>
        <w:rPr>
          <w:b/>
        </w:rPr>
        <w:t xml:space="preserve">• </w:t>
      </w:r>
      <w:r>
        <w:t>CVE-2004-1513: Spoofed entries in web server log file via carriage returns</w:t>
      </w:r>
    </w:p>
    <w:p>
      <w:r>
        <w:rPr>
          <w:b/>
        </w:rPr>
        <w:t xml:space="preserve">• </w:t>
      </w:r>
      <w:r>
        <w:t>CVE-2006-4624: Chain: inject fake log entries with fake timestamps using CRLF injection</w:t>
      </w:r>
    </w:p>
    <w:p>
      <w:r>
        <w:rPr>
          <w:b/>
        </w:rPr>
        <w:t xml:space="preserve">• </w:t>
      </w:r>
      <w:r>
        <w:t>CVE-2005-1951: Chain: Application accepts CRLF in an object ID, allowing HTTP response splitting.</w:t>
      </w:r>
    </w:p>
    <w:p>
      <w:r>
        <w:rPr>
          <w:b/>
        </w:rPr>
        <w:t xml:space="preserve">• </w:t>
      </w:r>
      <w:r>
        <w:t>CVE-2004-1687: Chain: HTTP response splitting via CRLF in parameter related to URL.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CAPEC-15</w:t>
      </w:r>
    </w:p>
    <w:p>
      <w:pPr>
        <w:pStyle w:val="ListBullet"/>
      </w:pPr>
      <w:r>
        <w:t>CAPEC-81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REALIZATION: This weakness is caused during implementation of an architectural security tactic.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Modify Application Data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Implementation: Avoid using CRLF as a special sequence. (Effectiveness: N/A)</w:t>
      </w:r>
    </w:p>
    <w:p>
      <w:r>
        <w:rPr>
          <w:b/>
        </w:rPr>
        <w:t xml:space="preserve">• </w:t>
      </w:r>
      <w:r>
        <w:t>Implementation: Appropriately filter or quote CRLF sequences in user-controlled input.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Assuming a string consisting of standard alpha-numeric characters, such as "Jane Smith", is submitted in the request the HTTP response including this cookie might take the following form:</w:t>
      </w:r>
    </w:p>
    <w:p>
      <w:r>
        <w:rPr>
          <w:b/>
        </w:rPr>
        <w:t xml:space="preserve">• </w:t>
      </w:r>
      <w:r>
        <w:t>N/A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