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CWE-797</w:t>
      </w:r>
    </w:p>
    <w:p>
      <w:pPr>
        <w:pStyle w:val="Heading2"/>
      </w:pPr>
      <w:r>
        <w:t>Description</w:t>
      </w:r>
    </w:p>
    <w:p>
      <w:r>
        <w:t>The product receives data from an upstream component, but only accounts for special elements at an absolute position (e.g. "byte number 10"), thereby missing remaining special elements that may exist before sending it to a downstream component.</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Unexpected State — Notes: </w:t>
      </w:r>
    </w:p>
    <w:p>
      <w:pPr>
        <w:pStyle w:val="Heading2"/>
      </w:pPr>
      <w:r>
        <w:t>Demonstrative Examples</w:t>
      </w:r>
    </w:p>
    <w:p>
      <w:r>
        <w:rPr>
          <w:b/>
        </w:rPr>
        <w:t xml:space="preserve">• </w:t>
      </w:r>
      <w:r>
        <w:t>Since the if function is only looking for a substring of "../" between the 0 and 2 position, it only removes that specific "../" element. So an input value such 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