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CWE-75</w:t>
      </w:r>
    </w:p>
    <w:p>
      <w:pPr>
        <w:pStyle w:val="Heading2"/>
      </w:pPr>
      <w:r>
        <w:t>Description</w:t>
      </w:r>
    </w:p>
    <w:p>
      <w:r>
        <w:t>The product does not adequately filter user-controlled input for special elements with control implications.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CAPEC-81</w:t>
      </w:r>
    </w:p>
    <w:p>
      <w:pPr>
        <w:pStyle w:val="ListBullet"/>
      </w:pPr>
      <w:r>
        <w:t>CAPEC-93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Application Data,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Programming languages and supporting technologies might be chosen which are not subject to these issues. (Effectiveness: N/A)</w:t>
      </w:r>
    </w:p>
    <w:p>
      <w:r>
        <w:rPr>
          <w:b/>
        </w:rPr>
        <w:t xml:space="preserve">• </w:t>
      </w:r>
      <w:r>
        <w:t>Implementation: Utilize an appropriate mix of allowlist and denylist parsing to filter special element syntax from all input.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