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CWE-697</w:t>
      </w:r>
    </w:p>
    <w:p>
      <w:pPr>
        <w:pStyle w:val="Heading2"/>
      </w:pPr>
      <w:r>
        <w:t>Description</w:t>
      </w:r>
    </w:p>
    <w:p>
      <w:r>
        <w:t>The product compares two entities in a security-relevant context, but the comparison is incorrect, which may lead to resultant weaknesses.</w:t>
      </w:r>
    </w:p>
    <w:p>
      <w:pPr>
        <w:pStyle w:val="Heading2"/>
      </w:pPr>
      <w:r>
        <w:t>Extended Description</w:t>
      </w:r>
    </w:p>
    <w:p>
      <w:r>
        <w:t>This Pillar covers several possibilities: the comparison checks one factor incorrectly; the comparison should consider multiple factors, but it does not check at least one of those factors at all; the comparison checks the wrong factor.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CVE-2021-3116: Chain: Python-based HTTP Proxy server uses the wrong boolean operators (CWE-480) causing an  incorrect comparison (CWE-697) that identifies an authN failure if all three conditions are met instead of only one, allowing bypass of the proxy authentication (CWE-1390)</w:t>
      </w:r>
    </w:p>
    <w:p>
      <w:r>
        <w:rPr>
          <w:b/>
        </w:rPr>
        <w:t xml:space="preserve">• </w:t>
      </w:r>
      <w:r>
        <w:t>CVE-2020-15811: Chain: Proxy uses a substring search instead of parsing the Transfer-Encoding header (CWE-697), allowing request splitting (CWE-113) and cache poisoning</w:t>
      </w:r>
    </w:p>
    <w:p>
      <w:r>
        <w:rPr>
          <w:b/>
        </w:rPr>
        <w:t xml:space="preserve">• </w:t>
      </w:r>
      <w:r>
        <w:t>CVE-2016-10003: Proxy performs incorrect comparison of request headers, leading to infoleak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</w:t>
      </w:r>
    </w:p>
    <w:p>
      <w:pPr>
        <w:pStyle w:val="ListBullet"/>
      </w:pPr>
      <w:r>
        <w:t>CAPEC-120</w:t>
      </w:r>
    </w:p>
    <w:p>
      <w:pPr>
        <w:pStyle w:val="ListBullet"/>
      </w:pPr>
      <w:r>
        <w:t>CAPEC-14</w:t>
      </w:r>
    </w:p>
    <w:p>
      <w:pPr>
        <w:pStyle w:val="ListBullet"/>
      </w:pPr>
      <w:r>
        <w:t>CAPEC-15</w:t>
      </w:r>
    </w:p>
    <w:p>
      <w:pPr>
        <w:pStyle w:val="ListBullet"/>
      </w:pPr>
      <w:r>
        <w:t>CAPEC-182</w:t>
      </w:r>
    </w:p>
    <w:p>
      <w:pPr>
        <w:pStyle w:val="ListBullet"/>
      </w:pPr>
      <w:r>
        <w:t>CAPEC-24</w:t>
      </w:r>
    </w:p>
    <w:p>
      <w:pPr>
        <w:pStyle w:val="ListBullet"/>
      </w:pPr>
      <w:r>
        <w:t>CAPEC-267</w:t>
      </w:r>
    </w:p>
    <w:p>
      <w:pPr>
        <w:pStyle w:val="ListBullet"/>
      </w:pPr>
      <w:r>
        <w:t>CAPEC-3</w:t>
      </w:r>
    </w:p>
    <w:p>
      <w:pPr>
        <w:pStyle w:val="ListBullet"/>
      </w:pPr>
      <w:r>
        <w:t>CAPEC-41</w:t>
      </w:r>
    </w:p>
    <w:p>
      <w:pPr>
        <w:pStyle w:val="ListBullet"/>
      </w:pPr>
      <w:r>
        <w:t>CAPEC-43</w:t>
      </w:r>
    </w:p>
    <w:p>
      <w:pPr>
        <w:pStyle w:val="ListBullet"/>
      </w:pPr>
      <w:r>
        <w:t>CAPEC-44</w:t>
      </w:r>
    </w:p>
    <w:p>
      <w:pPr>
        <w:pStyle w:val="ListBullet"/>
      </w:pPr>
      <w:r>
        <w:t>CAPEC-45</w:t>
      </w:r>
    </w:p>
    <w:p>
      <w:pPr>
        <w:pStyle w:val="ListBullet"/>
      </w:pPr>
      <w:r>
        <w:t>CAPEC-46</w:t>
      </w:r>
    </w:p>
    <w:p>
      <w:pPr>
        <w:pStyle w:val="ListBullet"/>
      </w:pPr>
      <w:r>
        <w:t>CAPEC-47</w:t>
      </w:r>
    </w:p>
    <w:p>
      <w:pPr>
        <w:pStyle w:val="ListBullet"/>
      </w:pPr>
      <w:r>
        <w:t>CAPEC-52</w:t>
      </w:r>
    </w:p>
    <w:p>
      <w:pPr>
        <w:pStyle w:val="ListBullet"/>
      </w:pPr>
      <w:r>
        <w:t>CAPEC-53</w:t>
      </w:r>
    </w:p>
    <w:p>
      <w:pPr>
        <w:pStyle w:val="ListBullet"/>
      </w:pPr>
      <w:r>
        <w:t>CAPEC-6</w:t>
      </w:r>
    </w:p>
    <w:p>
      <w:pPr>
        <w:pStyle w:val="ListBullet"/>
      </w:pPr>
      <w:r>
        <w:t>CAPEC-64</w:t>
      </w:r>
    </w:p>
    <w:p>
      <w:pPr>
        <w:pStyle w:val="ListBullet"/>
      </w:pPr>
      <w:r>
        <w:t>CAPEC-67</w:t>
      </w:r>
    </w:p>
    <w:p>
      <w:pPr>
        <w:pStyle w:val="ListBullet"/>
      </w:pPr>
      <w:r>
        <w:t>CAPEC-7</w:t>
      </w:r>
    </w:p>
    <w:p>
      <w:pPr>
        <w:pStyle w:val="ListBullet"/>
      </w:pPr>
      <w:r>
        <w:t>CAPEC-71</w:t>
      </w:r>
    </w:p>
    <w:p>
      <w:pPr>
        <w:pStyle w:val="ListBullet"/>
      </w:pPr>
      <w:r>
        <w:t>CAPEC-73</w:t>
      </w:r>
    </w:p>
    <w:p>
      <w:pPr>
        <w:pStyle w:val="ListBullet"/>
      </w:pPr>
      <w:r>
        <w:t>CAPEC-78</w:t>
      </w:r>
    </w:p>
    <w:p>
      <w:pPr>
        <w:pStyle w:val="ListBullet"/>
      </w:pPr>
      <w:r>
        <w:t>CAPEC-79</w:t>
      </w:r>
    </w:p>
    <w:p>
      <w:pPr>
        <w:pStyle w:val="ListBullet"/>
      </w:pPr>
      <w:r>
        <w:t>CAPEC-8</w:t>
      </w:r>
    </w:p>
    <w:p>
      <w:pPr>
        <w:pStyle w:val="ListBullet"/>
      </w:pPr>
      <w:r>
        <w:t>CAPEC-80</w:t>
      </w:r>
    </w:p>
    <w:p>
      <w:pPr>
        <w:pStyle w:val="ListBullet"/>
      </w:pPr>
      <w:r>
        <w:t>CAPEC-88</w:t>
      </w:r>
    </w:p>
    <w:p>
      <w:pPr>
        <w:pStyle w:val="ListBullet"/>
      </w:pPr>
      <w:r>
        <w:t>CAPEC-9</w:t>
      </w:r>
    </w:p>
    <w:p>
      <w:pPr>
        <w:pStyle w:val="ListBullet"/>
      </w:pPr>
      <w:r>
        <w:t>CAPEC-92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T1027: Obfuscated Files or Information</w:t>
      </w:r>
      <w:r>
        <w:t xml:space="preserve"> (Tactics: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Here, the equals() method only checks the make and model of the Truck objects, but the year of manufacture is not included.</w:t>
      </w:r>
    </w:p>
    <w:p>
      <w:r>
        <w:rPr>
          <w:b/>
        </w:rPr>
        <w:t xml:space="preserve">• </w:t>
      </w:r>
      <w:r>
        <w:t>In AuthenticateUser(), the strncmp() call uses the string length of an attacker-provided inPass parameter in order to determine how many characters to check in the password. So, if the attacker only provides a password of length 1, the check will only examine the first byte of the application's password before determining success.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Weaknesses related to this Pillar appear to be under-studied, especially with respect to classification schemes. Input from academic and other communities could help identify and resolve gaps or organizational difficulties within CWE.</w:t>
      </w:r>
    </w:p>
    <w:p>
      <w:r>
        <w:rPr>
          <w:b/>
        </w:rPr>
        <w:t xml:space="preserve">• </w:t>
      </w:r>
      <w:r>
        <w:t>Maintenance: This entry likely has some relationships with case sensitivity (CWE-178), but case sensitivity is a factor in other types of weaknesses besides comparison.  Also, in cryptography, certain attacks are possible when certain comparison operations do not take place in constant time, causing a timing-related information leak (CWE-208).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