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CWE-694</w:t>
      </w:r>
    </w:p>
    <w:p>
      <w:pPr>
        <w:pStyle w:val="Heading2"/>
      </w:pPr>
      <w:r>
        <w:t>Description</w:t>
      </w:r>
    </w:p>
    <w:p>
      <w:r>
        <w:t>The product uses multiple resources that can have the same identifier, in a context in which unique identifiers are required.</w:t>
      </w:r>
    </w:p>
    <w:p>
      <w:pPr>
        <w:pStyle w:val="Heading2"/>
      </w:pPr>
      <w:r>
        <w:t>Extended Description</w:t>
      </w:r>
    </w:p>
    <w:p>
      <w:r>
        <w:t>If the product assumes that each resource has a unique identifier, the product could operate on the wrong resource if attackers can cause multiple resources to be associated with the same identifier.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CVE-2013-4787: chain: mobile OS verifies cryptographic signature of file in an archive, but then installs a different file with the same name that is also listed in the archive.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 — Notes: If unique identifiers are assumed when protecting sensitive resources, then duplicate identifiers might allow attackers to bypass the protection.</w:t>
      </w:r>
    </w:p>
    <w:p>
      <w:r>
        <w:rPr>
          <w:b/>
        </w:rPr>
        <w:t xml:space="preserve">• </w:t>
      </w:r>
      <w:r>
        <w:t xml:space="preserve">Impact: Quality Degradation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Where possible, use unique identifiers. If non-unique identifiers are detected, then do not operate any resource with a non-unique identifier and report the error appropriately.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It is not certain which form will be used by Struts. It is critically important that validation logic be maintained and kept in sync with the rest of the product.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weakness is probably closely associated with other issues related to doubling, such as CWE-675 (Duplicate Operations on Resource). It's often a case of an API contract violation (CWE-227).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