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CWE-687</w:t>
      </w:r>
    </w:p>
    <w:p>
      <w:pPr>
        <w:pStyle w:val="Heading2"/>
      </w:pPr>
      <w:r>
        <w:t>Description</w:t>
      </w:r>
    </w:p>
    <w:p>
      <w:r>
        <w:t>The product calls a function, procedure, or routine, but the caller specifies an argument that contains the wrong value, which may lead to resultant weaknesses.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When primary, this weakness is most likely to occur in rarely-tested code, since the wrong value can change the semantic meaning of the program's execution and lead to obviously-incorrect behavior. It can also be resultant from issues in which the program assigns the wrong value to a variable, and that variable is later used in a function call. In that sense, this issue could be argued as having chaining relationships with many implementation errors in CWE.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