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CWE-65</w:t>
      </w:r>
    </w:p>
    <w:p>
      <w:pPr>
        <w:pStyle w:val="Heading2"/>
      </w:pPr>
      <w:r>
        <w:t>Description</w:t>
      </w:r>
    </w:p>
    <w:p>
      <w:r>
        <w:t>The product, when opening a file or directory, does not sufficiently handle when the name is associated with a hard link to a target that is outside of the intended control sphere. This could allow an attacker to cause the product to operate on unauthorized files.</w:t>
      </w:r>
    </w:p>
    <w:p>
      <w:pPr>
        <w:pStyle w:val="Heading2"/>
      </w:pPr>
      <w:r>
        <w:t>Extended Description</w:t>
      </w:r>
    </w:p>
    <w:p>
      <w:r>
        <w:t>Failure for a system to check for hard links can result in vulnerability to different types of attacks. For example, an attacker can escalate their privileges if a file used by a privileged program is replaced with a hard link to a sensitive file (e.g. AUTOEXEC.BAT). When the process opens the file, the attacker can assume the privileges of that process, or prevent the program from accurately processing data.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CVE-2002-0725: File system allows local attackers to hide file usage activities via a hard link to the target file, which causes the link to be recorded in the audit trail instead of the target file.</w:t>
      </w:r>
    </w:p>
    <w:p>
      <w:r>
        <w:rPr>
          <w:b/>
        </w:rPr>
        <w:t xml:space="preserve">• </w:t>
      </w:r>
      <w:r>
        <w:t>CVE-2003-0844: Web server plugin allows local users to overwrite arbitrary files via a symlink attack on predictable temporary filenames.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Follow the principle of least privilege when assigning access rights to entities in a software system. Denying access to a file can prevent an attacker from replacing that file with a link to a sensitive file. Ensure good compartmentalization in the system to provide protected areas that can be trusted.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