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CWE-623</w:t>
      </w:r>
    </w:p>
    <w:p>
      <w:pPr>
        <w:pStyle w:val="Heading2"/>
      </w:pPr>
      <w:r>
        <w:t>Description</w:t>
      </w:r>
    </w:p>
    <w:p>
      <w:r>
        <w:t>An ActiveX control is intended for restricted use, but it has been marked as safe-for-scripting.</w:t>
      </w:r>
    </w:p>
    <w:p>
      <w:pPr>
        <w:pStyle w:val="Heading2"/>
      </w:pPr>
      <w:r>
        <w:t>Extended Description</w:t>
      </w:r>
    </w:p>
    <w:p>
      <w:r>
        <w:t>This might allow attackers to use dangerous functionality via a web page that accesses the control, which can lead to different resultant vulnerabilities, depending on the control's behavior.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CVE-2007-0617: control allows attackers to add malicious email addresses to bypass spam limits</w:t>
      </w:r>
    </w:p>
    <w:p>
      <w:r>
        <w:rPr>
          <w:b/>
        </w:rPr>
        <w:t xml:space="preserve">• </w:t>
      </w:r>
      <w:r>
        <w:t>CVE-2007-0219: web browser uses certain COM objects as ActiveX</w:t>
      </w:r>
    </w:p>
    <w:p>
      <w:r>
        <w:rPr>
          <w:b/>
        </w:rPr>
        <w:t xml:space="preserve">• </w:t>
      </w:r>
      <w:r>
        <w:t>CVE-2006-6510: kiosk allows bypass to read files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During development, do not mark it as safe for scripting. (Effectiveness: N/A)</w:t>
      </w:r>
    </w:p>
    <w:p>
      <w:r>
        <w:rPr>
          <w:b/>
        </w:rPr>
        <w:t xml:space="preserve">• </w:t>
      </w:r>
      <w:r>
        <w:t>System Configuration: After distribution, you can set the kill bit for the control so that it is not accessible from Internet Explorer. (Effectiveness: N/A)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