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CWE-576</w:t>
      </w:r>
    </w:p>
    <w:p>
      <w:pPr>
        <w:pStyle w:val="Heading2"/>
      </w:pPr>
      <w:r>
        <w:t>Description</w:t>
      </w:r>
    </w:p>
    <w:p>
      <w:r>
        <w:t>The product violates the Enterprise JavaBeans (EJB) specification by using the java.io package.</w:t>
      </w:r>
    </w:p>
    <w:p>
      <w:pPr>
        <w:pStyle w:val="Heading2"/>
      </w:pPr>
      <w:r>
        <w:t>Extended Description</w:t>
      </w:r>
    </w:p>
    <w:p>
      <w:r>
        <w:t>The Enterprise JavaBeans specification requires that every bean provider follow a set of programming guidelines designed to ensure that the bean will be portable and behave consistently in any EJB container. In this case, the product violates the following EJB guideline: "An enterprise bean must not use the java.io package to attempt to access files and directories in the file system." The specification justifies this requirement in the following way: "The file system APIs are not well-suited for business components to access data. Business components should use a resource manager API, such as JDBC, to store data."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Do not use Java I/O when writing EJBs.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use of the Java I/O API within any kind of Enterprise JavaBean violates the EJB specification by using the java.io package for accessing files within the local filesystem.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