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CWE-564</w:t>
      </w:r>
    </w:p>
    <w:p>
      <w:pPr>
        <w:pStyle w:val="Heading2"/>
      </w:pPr>
      <w:r>
        <w:t>Description</w:t>
      </w:r>
    </w:p>
    <w:p>
      <w:r>
        <w:t>Using Hibernate to execute a dynamic SQL statement built with user-controlled input can allow an attacker to modify the statement's meaning or to execute arbitrary SQL commands.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A non-SQL style database which is not subject to this flaw may be chosen. (Effectiveness: N/A)</w:t>
      </w:r>
    </w:p>
    <w:p>
      <w:r>
        <w:rPr>
          <w:b/>
        </w:rPr>
        <w:t xml:space="preserve">• </w:t>
      </w:r>
      <w:r>
        <w:t>Architecture and Design: Follow the principle of least privilege when creating user accounts to a SQL database. Users should only have the minimum privileges necessary to use their account. If the requirements of the system indicate that a user can read and modify their own data, then limit their privileges so they cannot read/write others' data. (Effectiveness: N/A)</w:t>
      </w:r>
    </w:p>
    <w:p>
      <w:r>
        <w:rPr>
          <w:b/>
        </w:rPr>
        <w:t xml:space="preserve">• </w:t>
      </w:r>
      <w:r>
        <w:t>Architecture and Design: For any security checks that are performed on the client side, ensure that these checks are duplicated on the server side, in order to avoid CWE-602. Attackers can bypass the client-side checks by modifying values after the checks have been performed, or by changing the client to remove the client-side checks entirely. Then, these modified values would be submitted to the server. (Effectiveness: N/A)</w:t>
      </w:r>
    </w:p>
    <w:p>
      <w:r>
        <w:rPr>
          <w:b/>
        </w:rPr>
        <w:t xml:space="preserve">• </w:t>
      </w:r>
      <w:r>
        <w:t>Implementation: Implement SQL strings using prepared statements that bind variables. Prepared statements that do not bind variables can be vulnerable to attack. (Effectiveness: N/A)</w:t>
      </w:r>
    </w:p>
    <w:p>
      <w:r>
        <w:rPr>
          <w:b/>
        </w:rPr>
        <w:t xml:space="preserve">• </w:t>
      </w:r>
      <w:r>
        <w:t>Implementation: Use vigorous allowlist style checking on any user input that may be used in a SQL command. Rather than escape meta-characters, it is safest to disallow them entirely. Reason: Later use of data that have been entered in the database may neglect to escape meta-characters before use. Narrowly define the set of safe characters based on the expected value of the parameter in the request.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SQL (Class: None, Prevalence: Often)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