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CWE-543</w:t>
      </w:r>
    </w:p>
    <w:p>
      <w:pPr>
        <w:pStyle w:val="Heading2"/>
      </w:pPr>
      <w:r>
        <w:t>Description</w:t>
      </w:r>
    </w:p>
    <w:p>
      <w:r>
        <w:t>The product uses the singleton pattern when creating a resource within a multithreaded environment.</w:t>
      </w:r>
    </w:p>
    <w:p>
      <w:pPr>
        <w:pStyle w:val="Heading2"/>
      </w:pPr>
      <w:r>
        <w:t>Extended Description</w:t>
      </w:r>
    </w:p>
    <w:p>
      <w:r>
        <w:t>The use of a singleton pattern may not be thread-safe.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Other, Modify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the Thread-Specific Storage Pattern. See References. (Effectiveness: N/A)</w:t>
      </w:r>
    </w:p>
    <w:p>
      <w:r>
        <w:rPr>
          <w:b/>
        </w:rPr>
        <w:t xml:space="preserve">• </w:t>
      </w:r>
      <w:r>
        <w:t>Implementation: Do not use member fields to store information in the Servlet. In multithreading environments, storing user data in Servlet member fields introduces a data access race condition. (Effectiveness: N/A)</w:t>
      </w:r>
    </w:p>
    <w:p>
      <w:r>
        <w:rPr>
          <w:b/>
        </w:rPr>
        <w:t xml:space="preserve">• </w:t>
      </w:r>
      <w:r>
        <w:t>Implementation: Avoid using the double-checked locking pattern in language versions that cannot guarantee thread safety. This pattern may be used to avoid the overhead of a synchronized call, but in certain versions of Java (for example), this has been shown to be unsafe because it still introduces a race condition (CWE-209). (Effectiveness: Limited)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Consider the following course of events: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