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CWE-541</w:t>
      </w:r>
    </w:p>
    <w:p>
      <w:pPr>
        <w:pStyle w:val="Heading2"/>
      </w:pPr>
      <w:r>
        <w:t>Description</w:t>
      </w:r>
    </w:p>
    <w:p>
      <w:r>
        <w:t>If an include file source is accessible, the file can contain usernames and passwords, as well as sensitive information pertaining to the application and system.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Do not store sensitive information in include files. (Effectiveness: N/A)</w:t>
      </w:r>
    </w:p>
    <w:p>
      <w:r>
        <w:rPr>
          <w:b/>
        </w:rPr>
        <w:t xml:space="preserve">• </w:t>
      </w:r>
      <w:r>
        <w:t>Architecture and Design: Protect include files from being exposed. (Effectiveness: N/A)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database.inc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