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CWE-51</w:t>
      </w:r>
    </w:p>
    <w:p>
      <w:pPr>
        <w:pStyle w:val="Heading2"/>
      </w:pPr>
      <w:r>
        <w:t>Description</w:t>
      </w:r>
    </w:p>
    <w:p>
      <w:r>
        <w:t>The product accepts path input in the form of multiple internal slash ('/multiple//internal/slash/') without appropriate validation, which can lead to ambiguous path resolution and allow an attacker to traverse the file system to unintended locations or access arbitrary files.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CVE-2002-1483: Read files with full pathname using multiple internal slash.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Files or Directories, Modify Files or Directories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Inputs should be decoded and canonicalized to the application's current internal representation before being validated (CWE-180). Make sure that the application does not decode the same input twice (CWE-174). Such errors could be used to bypass allowlist validation schemes by introducing dangerous inputs after they have been checked.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