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CWE-450</w:t>
      </w:r>
    </w:p>
    <w:p>
      <w:pPr>
        <w:pStyle w:val="Heading2"/>
      </w:pPr>
      <w:r>
        <w:t>Description</w:t>
      </w:r>
    </w:p>
    <w:p>
      <w:r>
        <w:t>The UI has multiple interpretations of user input but does not prompt the user when it selects the less secure interpretation.</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