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CWE-424</w:t>
      </w:r>
    </w:p>
    <w:p>
      <w:pPr>
        <w:pStyle w:val="Heading2"/>
      </w:pPr>
      <w:r>
        <w:t>Description</w:t>
      </w:r>
    </w:p>
    <w:p>
      <w:r>
        <w:t>The product does not sufficiently protect all possible paths that a user can take to access restricted functionality or resources.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CVE-2022-29238: Access-control setting in web-based document collaboration tool is not properly implemented by the code, which prevents listing hidden directories but does not prevent direct requests to files in those directories.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CAPEC-127</w:t>
      </w:r>
    </w:p>
    <w:p>
      <w:pPr>
        <w:pStyle w:val="ListBullet"/>
      </w:pPr>
      <w:r>
        <w:t>CAPEC-554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T1083: File and Directory Discovery</w:t>
      </w:r>
      <w:r>
        <w:t xml:space="preserve"> (Tactics: discovery)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Mechanism, Gain Privileges or Assume Identity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Deploy different layers of protection to implement security in depth.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