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w:t>
      </w:r>
    </w:p>
    <w:p>
      <w:pPr>
        <w:pStyle w:val="Heading2"/>
      </w:pPr>
      <w:r>
        <w:t>Description</w:t>
      </w:r>
    </w:p>
    <w:p>
      <w:r>
        <w:t>The product accepts input in the form of a slash absolute path ('/absolute/pathname/here') without appropriate validation, which can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CVE-2002-1345: Multiple FTP clients write arbitrary files via absolute paths in server responses</w:t>
      </w:r>
    </w:p>
    <w:p>
      <w:r>
        <w:rPr>
          <w:b/>
        </w:rPr>
        <w:t xml:space="preserve">• </w:t>
      </w:r>
      <w:r>
        <w:t>CVE-2001-1269: ZIP file extractor allows full path</w:t>
      </w:r>
    </w:p>
    <w:p>
      <w:r>
        <w:rPr>
          <w:b/>
        </w:rPr>
        <w:t xml:space="preserve">• </w:t>
      </w:r>
      <w:r>
        <w:t>CVE-2002-1818: Path traversal using absolute pathname</w:t>
      </w:r>
    </w:p>
    <w:p>
      <w:r>
        <w:rPr>
          <w:b/>
        </w:rPr>
        <w:t xml:space="preserve">• </w:t>
      </w:r>
      <w:r>
        <w:t>CVE-2002-1913: Path traversal using absolute pathname</w:t>
      </w:r>
    </w:p>
    <w:p>
      <w:r>
        <w:rPr>
          <w:b/>
        </w:rPr>
        <w:t xml:space="preserve">• </w:t>
      </w:r>
      <w:r>
        <w:t>CVE-2005-2147: Path traversal using absolute pathname</w:t>
      </w:r>
    </w:p>
    <w:p>
      <w:r>
        <w:rPr>
          <w:b/>
        </w:rPr>
        <w:t xml:space="preserve">• </w:t>
      </w:r>
      <w:r>
        <w:t>CVE-2000-0614: Arbitrary files may be overwritten via compressed attachments that specify absolute path names for the decompressed output.</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