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CWE-347</w:t>
      </w:r>
    </w:p>
    <w:p>
      <w:pPr>
        <w:pStyle w:val="Heading2"/>
      </w:pPr>
      <w:r>
        <w:t>Description</w:t>
      </w:r>
    </w:p>
    <w:p>
      <w:r>
        <w:t>The product does not verify, or incorrectly verifies, the cryptographic signature for data.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CVE-2002-1796: Does not properly verify signatures for "trusted" entities.</w:t>
      </w:r>
    </w:p>
    <w:p>
      <w:r>
        <w:rPr>
          <w:b/>
        </w:rPr>
        <w:t xml:space="preserve">• </w:t>
      </w:r>
      <w:r>
        <w:t>CVE-2005-2181: Insufficient verification allows spoofing.</w:t>
      </w:r>
    </w:p>
    <w:p>
      <w:r>
        <w:rPr>
          <w:b/>
        </w:rPr>
        <w:t xml:space="preserve">• </w:t>
      </w:r>
      <w:r>
        <w:t>CVE-2005-2182: Insufficient verification allows spoofing.</w:t>
      </w:r>
    </w:p>
    <w:p>
      <w:r>
        <w:rPr>
          <w:b/>
        </w:rPr>
        <w:t xml:space="preserve">• </w:t>
      </w:r>
      <w:r>
        <w:t>CVE-2002-1706: Accepts a configuration file without a Message Integrity Check (MIC) signature.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CAPEC-463</w:t>
      </w:r>
    </w:p>
    <w:p>
      <w:pPr>
        <w:pStyle w:val="ListBullet"/>
      </w:pPr>
      <w:r>
        <w:t>CAPEC-475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Identity, Modify Application Data, Execute Unauthorized Code or Commands — Notes: An attacker could gain access to sensitive data and possibly execute unauthorized code.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JAR file that was potentially downloaded from an untrusted source is created without verifying the signature (if present). An alternate constructor that accepts a boolean verify parameter should be used instead.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