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CWE-323</w:t>
      </w:r>
    </w:p>
    <w:p>
      <w:pPr>
        <w:pStyle w:val="Heading2"/>
      </w:pPr>
      <w:r>
        <w:t>Description</w:t>
      </w:r>
    </w:p>
    <w:p>
      <w:r>
        <w:t>Nonces should be used for the present occasion and only once.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Mechanism, Gain Privileges or Assume Identity — Notes: Potentially a replay attack, in which an attacker could send the same data twice, could be crafted if nonces are allowed to be reused. This could allow a user to send a message which masquerades as a valid message from a valid user.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Refuse to reuse nonce values. (Effectiveness: N/A)</w:t>
      </w:r>
    </w:p>
    <w:p>
      <w:r>
        <w:rPr>
          <w:b/>
        </w:rPr>
        <w:t xml:space="preserve">• </w:t>
      </w:r>
      <w:r>
        <w:t>Implementation: Use techniques such as requiring incrementing, time based and/or challenge response to assure uniqueness of nonces.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Because the nonce used is always the same, an attacker can impersonate a trusted party by intercepting and resending the encrypted password. This attack avoids the need to learn the unencrypted password.</w:t>
      </w:r>
    </w:p>
    <w:p>
      <w:r>
        <w:rPr>
          <w:b/>
        </w:rPr>
        <w:t xml:space="preserve">• </w:t>
      </w:r>
      <w:r>
        <w:t>Once again the nonce used is always the same. An attacker may be able to replay previous legitimate commands or execute new arbitrary commands.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