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CWE-317</w:t>
      </w:r>
    </w:p>
    <w:p>
      <w:pPr>
        <w:pStyle w:val="Heading2"/>
      </w:pPr>
      <w:r>
        <w:t>Description</w:t>
      </w:r>
    </w:p>
    <w:p>
      <w:r>
        <w:t>The product stores sensitive information in cleartext within the GUI.</w:t>
      </w:r>
    </w:p>
    <w:p>
      <w:pPr>
        <w:pStyle w:val="Heading2"/>
      </w:pPr>
      <w:r>
        <w:t>Extended Description</w:t>
      </w:r>
    </w:p>
    <w:p>
      <w:r>
        <w:t>An attacker can often obtain data from a GUI, even if hidden, by using an API to directly access GUI objects such as windows and menus. Even if the information is encoded in a way that is not human-readable, certain techniques could determine which encoding is being used, then decode the information.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CVE-2002-1848: Unencrypted passwords stored in GUI dialog may allow local users to access the passwords.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OMISSION: This weakness is caused by missing a security tactic during the architecture and design phase.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Read Memory, Read Application Data — Notes: 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Terminology: Different people use "cleartext" and "plaintext" to mean the same thing: the lack of encryption. However, within cryptography, these have more precise meanings. Plaintext is the information just before it is fed into a cryptographic algorithm, including already-encrypted text. Cleartext is any information that is unencrypted, although it might be in an encoded form that is not easily human-readable (such as base64 encoding).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