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CWE-283</w:t>
      </w:r>
    </w:p>
    <w:p>
      <w:pPr>
        <w:pStyle w:val="Heading2"/>
      </w:pPr>
      <w:r>
        <w:t>Description</w:t>
      </w:r>
    </w:p>
    <w:p>
      <w:r>
        <w:t>The product does not properly verify that a critical resource is owned by the proper entity.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CVE-2001-0178: Program does not verify the owner of a UNIX socket that is used for sending a password.</w:t>
      </w:r>
    </w:p>
    <w:p>
      <w:r>
        <w:rPr>
          <w:b/>
        </w:rPr>
        <w:t xml:space="preserve">• </w:t>
      </w:r>
      <w:r>
        <w:t>CVE-2004-2012: Owner of special device not checked, allowing root.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REALIZATION: This weakness is caused during implementation of an architectural security tactic.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Gain Privileges or Assume Identity — Notes: An attacker could gain unauthorized access to system resources.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Very carefully manage the setting, management, and handling of privileges. Explicitly manage trust zones in the software. (Effectiveness: N/A)</w:t>
      </w:r>
    </w:p>
    <w:p>
      <w:r>
        <w:rPr>
          <w:b/>
        </w:rPr>
        <w:t xml:space="preserve">• </w:t>
      </w:r>
      <w:r>
        <w:t>Architecture and Design: Consider following the principle of separation of privilege. Require multiple conditions to be met before permitting access to a system resource.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This code does not confirm that the process to be killed is owned by the requesting user, thus allowing an attacker to kill arbitrary processes.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Relationship: This overlaps insufficient comparison, verification errors, permissions, and privileges.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