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CWE-279</w:t>
      </w:r>
    </w:p>
    <w:p>
      <w:pPr>
        <w:pStyle w:val="Heading2"/>
      </w:pPr>
      <w:r>
        <w:t>Description</w:t>
      </w:r>
    </w:p>
    <w:p>
      <w:r>
        <w:t>While it is executing, the product sets the permissions of an object in a way that violates the intended permissions that have been specified by the user.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CVE-2002-0265: Log files opened read/write.</w:t>
      </w:r>
    </w:p>
    <w:p>
      <w:r>
        <w:rPr>
          <w:b/>
        </w:rPr>
        <w:t xml:space="preserve">• </w:t>
      </w:r>
      <w:r>
        <w:t>CVE-2003-0876: Log files opened read/write.</w:t>
      </w:r>
    </w:p>
    <w:p>
      <w:r>
        <w:rPr>
          <w:b/>
        </w:rPr>
        <w:t xml:space="preserve">• </w:t>
      </w:r>
      <w:r>
        <w:t>CVE-2002-1694: Log files opened read/write.</w:t>
      </w:r>
    </w:p>
    <w:p>
      <w:pPr>
        <w:pStyle w:val="Heading2"/>
      </w:pPr>
      <w:r>
        <w:t>Related Attack Patterns (CAPEC)</w:t>
      </w:r>
    </w:p>
    <w:p>
      <w:pPr>
        <w:pStyle w:val="ListBullet"/>
      </w:pPr>
      <w:r>
        <w:t>CAPEC-81</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Architecture and Design: N/A</w:t>
      </w:r>
    </w:p>
    <w:p>
      <w:r>
        <w:rPr>
          <w:b/>
        </w:rPr>
        <w:t xml:space="preserve">• </w:t>
      </w:r>
      <w:r>
        <w:t>Operation: N/A</w:t>
      </w:r>
    </w:p>
    <w:p>
      <w:pPr>
        <w:pStyle w:val="Heading2"/>
      </w:pPr>
      <w:r>
        <w:t>Common Consequences</w:t>
      </w:r>
    </w:p>
    <w:p>
      <w:r>
        <w:rPr>
          <w:b/>
        </w:rPr>
        <w:t xml:space="preserve">• </w:t>
      </w:r>
      <w:r>
        <w:t xml:space="preserve">Impact: Read Application Data, Modify Application Data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