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w:t>
      </w:r>
    </w:p>
    <w:p>
      <w:pPr>
        <w:pStyle w:val="Heading2"/>
      </w:pPr>
      <w:r>
        <w:t>Description</w:t>
      </w:r>
    </w:p>
    <w:p>
      <w:r>
        <w:t>The product uses external input to construct a pathname that should be within a restricted directory, but it does not properly neutralize "../"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the canonical manipulation for operating systems that use "/" as directory separators, such as UNIX- and Linux-based systems. In some cases, it is useful for bypassing protection schemes in environments for which "/" is supported but not the primary separator, such as Windows, which uses "\" but can also accept "/".</w:t>
      </w:r>
    </w:p>
    <w:p>
      <w:pPr>
        <w:pStyle w:val="Heading2"/>
      </w:pPr>
      <w:r>
        <w:t>Threat-Mapped Scoring</w:t>
      </w:r>
    </w:p>
    <w:p>
      <w:r>
        <w:t>Score: 0.0</w:t>
      </w:r>
    </w:p>
    <w:p>
      <w:r>
        <w:t>Priority: Unclassified</w:t>
      </w:r>
    </w:p>
    <w:p>
      <w:pPr>
        <w:pStyle w:val="Heading2"/>
      </w:pPr>
      <w:r>
        <w:t>Observed Examples (CVEs)</w:t>
      </w:r>
    </w:p>
    <w:p>
      <w:r>
        <w:rPr>
          <w:b/>
        </w:rPr>
        <w:t xml:space="preserve">• </w:t>
      </w:r>
      <w:r>
        <w:t>CVE-2022-45918: Chain: a learning management tool debugger uses external input to locate previous session logs (CWE-73) and does not properly validate the given path (CWE-20), allowing for filesystem path traversal using "../" sequences (CWE-24)</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