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CWE-222</w:t>
      </w:r>
    </w:p>
    <w:p>
      <w:pPr>
        <w:pStyle w:val="Heading2"/>
      </w:pPr>
      <w:r>
        <w:t>Description</w:t>
      </w:r>
    </w:p>
    <w:p>
      <w:r>
        <w:t>The product truncates the display, recording, or processing of security-relevant information in a way that can obscure the source or nature of an attack.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CVE-2005-0585: Web browser truncates long sub-domains or paths, facilitating phishing.</w:t>
      </w:r>
    </w:p>
    <w:p>
      <w:r>
        <w:rPr>
          <w:b/>
        </w:rPr>
        <w:t xml:space="preserve">• </w:t>
      </w:r>
      <w:r>
        <w:t>CVE-2004-2032: Bypass URL filter via a long URL with a large number of trailing hex-encoded space characters.</w:t>
      </w:r>
    </w:p>
    <w:p>
      <w:r>
        <w:rPr>
          <w:b/>
        </w:rPr>
        <w:t xml:space="preserve">• </w:t>
      </w:r>
      <w:r>
        <w:t>CVE-2003-0412: application server does not log complete URI of a long request (truncation).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Hide Activities — Notes: The source of an attack will be difficult or impossible to determine. This can allow attacks to the system to continue without notice.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