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CWE-168</w:t>
      </w:r>
    </w:p>
    <w:p>
      <w:pPr>
        <w:pStyle w:val="Heading2"/>
      </w:pPr>
      <w:r>
        <w:t>Description</w:t>
      </w:r>
    </w:p>
    <w:p>
      <w:r>
        <w:t>The product does not properly handle input in which an inconsistency exists between two or more special characters or reserved words.</w:t>
      </w:r>
    </w:p>
    <w:p>
      <w:pPr>
        <w:pStyle w:val="Heading2"/>
      </w:pPr>
      <w:r>
        <w:t>Extended Description</w:t>
      </w:r>
    </w:p>
    <w:p>
      <w:r>
        <w:t>An example of this problem would be if paired characters appear in the wrong order, or if the special characters are not properly nested.</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DoS: Crash, Exit, or Restart, Bypass Protection Mechanism, Hide Activities — Notes: </w:t>
      </w:r>
    </w:p>
    <w:p>
      <w:pPr>
        <w:pStyle w:val="Heading2"/>
      </w:pPr>
      <w:r>
        <w:t>Potential Mitigations</w:t>
      </w:r>
    </w:p>
    <w:p>
      <w:r>
        <w:rPr>
          <w:b/>
        </w:rPr>
        <w:t xml:space="preserve">• </w:t>
      </w:r>
      <w:r>
        <w:t>N/A: Developers should anticipate that inconsistent special elements will be injected/manipulated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