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CWE-155</w:t>
      </w:r>
    </w:p>
    <w:p>
      <w:pPr>
        <w:pStyle w:val="Heading2"/>
      </w:pPr>
      <w:r>
        <w:t>Description</w:t>
      </w:r>
    </w:p>
    <w:p>
      <w:r>
        <w:t>The product receives input from an upstream component, but it does not neutralize or incorrectly neutralizes special elements that could be interpreted as wildcards or matching symbols when they are sent to a downstream component.</w:t>
      </w:r>
    </w:p>
    <w:p>
      <w:pPr>
        <w:pStyle w:val="Heading2"/>
      </w:pPr>
      <w:r>
        <w:t>Extended Description</w:t>
      </w:r>
    </w:p>
    <w:p>
      <w:r>
        <w:t>As data is parsed, an injected element may cause the process to take unexpected actions.</w:t>
      </w:r>
    </w:p>
    <w:p>
      <w:pPr>
        <w:pStyle w:val="Heading2"/>
      </w:pPr>
      <w:r>
        <w:t>Threat-Mapped Scoring</w:t>
      </w:r>
    </w:p>
    <w:p>
      <w:r>
        <w:t>Score: 0.0</w:t>
      </w:r>
    </w:p>
    <w:p>
      <w:r>
        <w:t>Priority: Unclassified</w:t>
      </w:r>
    </w:p>
    <w:p>
      <w:pPr>
        <w:pStyle w:val="Heading2"/>
      </w:pPr>
      <w:r>
        <w:t>Observed Examples (CVEs)</w:t>
      </w:r>
    </w:p>
    <w:p>
      <w:r>
        <w:rPr>
          <w:b/>
        </w:rPr>
        <w:t xml:space="preserve">• </w:t>
      </w:r>
      <w:r>
        <w:t>CVE-2002-0433: Bypass file restrictions using wildcard character.</w:t>
      </w:r>
    </w:p>
    <w:p>
      <w:r>
        <w:rPr>
          <w:b/>
        </w:rPr>
        <w:t xml:space="preserve">• </w:t>
      </w:r>
      <w:r>
        <w:t>CVE-2002-1010: Bypass file restrictions using wildcard character.</w:t>
      </w:r>
    </w:p>
    <w:p>
      <w:r>
        <w:rPr>
          <w:b/>
        </w:rPr>
        <w:t xml:space="preserve">• </w:t>
      </w:r>
      <w:r>
        <w:t>CVE-2001-0334: Wildcards generate long string on expansion.</w:t>
      </w:r>
    </w:p>
    <w:p>
      <w:r>
        <w:rPr>
          <w:b/>
        </w:rPr>
        <w:t xml:space="preserve">• </w:t>
      </w:r>
      <w:r>
        <w:t>CVE-2004-1962: SQL injection involving "/**/" sequences.</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Unexpected State — Notes: </w:t>
      </w:r>
    </w:p>
    <w:p>
      <w:pPr>
        <w:pStyle w:val="Heading2"/>
      </w:pPr>
      <w:r>
        <w:t>Potential Mitigations</w:t>
      </w:r>
    </w:p>
    <w:p>
      <w:r>
        <w:rPr>
          <w:b/>
        </w:rPr>
        <w:t xml:space="preserve">• </w:t>
      </w:r>
      <w:r>
        <w:t>N/A: Developers should anticipate that wildcard or matching elements will be injected/removed/manipulated in the input vectors of their product. Use an appropriate combination of denylists and allowlists to ensure only valid, expected and appropriate input is processed by the system. (Effectiveness: N/A)</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N/A)</w:t>
      </w:r>
    </w:p>
    <w:p>
      <w:r>
        <w:rPr>
          <w:b/>
        </w:rPr>
        <w:t xml:space="preserve">• </w:t>
      </w:r>
      <w:r>
        <w:t>Implementation: While it is risky to use dynamically-generated query strings, code, or commands that mix control and data together, sometimes it may be unavoidable. Properly quote arguments and escape any special characters within those arguments. The most conservative approach is to escape or filter all characters that do not pass an extremely strict allowlist (such as everything that is not alphanumeric or white space). If some special characters are still needed, such as white space, wrap each argument in quotes after the escaping/filtering step. Be careful of argument injection (CWE-88). (Effectiveness: N/A)</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p>
      <w:pPr>
        <w:pStyle w:val="Heading2"/>
      </w:pPr>
      <w:r>
        <w:t>Notes</w:t>
      </w:r>
    </w:p>
    <w:p>
      <w:r>
        <w:rPr>
          <w:b/>
        </w:rPr>
        <w:t xml:space="preserve">• </w:t>
      </w:r>
      <w:r>
        <w:t>Research Gap: Under-studied.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