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CWE-145</w:t>
      </w:r>
    </w:p>
    <w:p>
      <w:pPr>
        <w:pStyle w:val="Heading2"/>
      </w:pPr>
      <w:r>
        <w:t>Description</w:t>
      </w:r>
    </w:p>
    <w:p>
      <w:r>
        <w:t>The product receives input from an upstream component, but it does not neutralize or incorrectly neutralizes special elements that could be interpreted as section delimiters when they are sent to a downstream component.</w:t>
      </w:r>
    </w:p>
    <w:p>
      <w:pPr>
        <w:pStyle w:val="Heading2"/>
      </w:pPr>
      <w:r>
        <w:t>Extended Description</w:t>
      </w:r>
    </w:p>
    <w:p>
      <w:r>
        <w:t>As data is parsed, an injected/absent/malformed delimiter may cause the process to take unexpected actions. One example of a section delimiter is the boundary string in a multipart MIME message. In many cases, doubled line delimiters can serve as a section delimiter.</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section delimiters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Depending on the language and syntax being used, this could be the same as the record delimiter (CWE-143).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