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CWE-1422</w:t>
      </w:r>
    </w:p>
    <w:p>
      <w:pPr>
        <w:pStyle w:val="Heading2"/>
      </w:pPr>
      <w:r>
        <w:t>Description</w:t>
      </w:r>
    </w:p>
    <w:p>
      <w:r>
        <w:t>A processor event or prediction may allow incorrect or stale data to</w:t>
        <w:br/>
        <w:tab/>
        <w:tab/>
        <w:t xml:space="preserve">  be forwarded to transient operations, potentially exposing data over a</w:t>
        <w:br/>
        <w:tab/>
        <w:tab/>
        <w:t xml:space="preserve">  covert channel.</w:t>
      </w:r>
    </w:p>
    <w:p>
      <w:pPr>
        <w:pStyle w:val="Heading2"/>
      </w:pPr>
      <w:r>
        <w:t>Extended Description</w:t>
      </w:r>
    </w:p>
    <w:p>
      <w:r>
        <w:t>Software may use a variety of techniques to preserve the</w:t>
        <w:br/>
        <w:tab/>
        <w:tab/>
        <w:tab/>
        <w:t>confidentiality of private data that is accessible within the current</w:t>
        <w:br/>
        <w:tab/>
        <w:tab/>
        <w:tab/>
        <w:t>processor context. For example, the memory safety and type safety</w:t>
        <w:br/>
        <w:tab/>
        <w:tab/>
        <w:tab/>
        <w:t>properties of some high-level programming languages help to prevent</w:t>
        <w:br/>
        <w:tab/>
        <w:tab/>
        <w:tab/>
        <w:t>software written in those languages from exposing private data. As a</w:t>
        <w:br/>
        <w:tab/>
        <w:tab/>
        <w:tab/>
        <w:t>second example, software sandboxes may co-locate multiple users'</w:t>
        <w:br/>
        <w:tab/>
        <w:tab/>
        <w:tab/>
        <w:t>software within a single process. The processor's Instruction Set</w:t>
        <w:br/>
        <w:tab/>
        <w:tab/>
        <w:tab/>
        <w:t>Architecture (ISA) may permit one user's software to access another</w:t>
        <w:br/>
        <w:tab/>
        <w:tab/>
        <w:tab/>
        <w:t>user's data (because the software shares the same address space), but</w:t>
        <w:br/>
        <w:tab/>
        <w:tab/>
        <w:tab/>
        <w:t>the sandbox prevents these accesses by using software techniques such</w:t>
        <w:br/>
        <w:tab/>
        <w:tab/>
        <w:tab/>
        <w:t>as bounds checking. If incorrect or stale data can be forwarded (for example, from a</w:t>
        <w:br/>
        <w:tab/>
        <w:tab/>
        <w:tab/>
        <w:t>cache) to transient operations, then the operations'</w:t>
        <w:br/>
        <w:tab/>
        <w:tab/>
        <w:tab/>
        <w:t>microarchitectural side effects may correspond to the data. If an</w:t>
        <w:br/>
        <w:tab/>
        <w:tab/>
        <w:tab/>
        <w:t>attacker can trigger these transient operations and observe their side</w:t>
        <w:br/>
        <w:tab/>
        <w:tab/>
        <w:tab/>
        <w:t>effects through a covert channel, then the attacker may be able to</w:t>
        <w:br/>
        <w:tab/>
        <w:tab/>
        <w:tab/>
        <w:t>infer the data. For example, an attacker process may induce transient</w:t>
        <w:br/>
        <w:tab/>
        <w:tab/>
        <w:tab/>
        <w:t>execution in a victim process that causes the victim to inadvertently</w:t>
        <w:br/>
        <w:tab/>
        <w:tab/>
        <w:tab/>
        <w:t>access and then expose its private data via a covert channel. In the</w:t>
        <w:br/>
        <w:tab/>
        <w:tab/>
        <w:tab/>
        <w:t>software sandbox example, an attacker sandbox may induce transient</w:t>
        <w:br/>
        <w:tab/>
        <w:tab/>
        <w:tab/>
        <w:t>execution in its own code, allowing it to transiently access and</w:t>
        <w:br/>
        <w:tab/>
        <w:tab/>
        <w:tab/>
        <w:t>expose data in a victim sandbox that shares the same address space. Consequently, weaknesses that arise from incorrect/stale data</w:t>
        <w:br/>
        <w:tab/>
        <w:tab/>
        <w:tab/>
        <w:t>forwarding might violate users' expectations of software-based memory</w:t>
        <w:br/>
        <w:tab/>
        <w:tab/>
        <w:tab/>
        <w:t>safety and isolation techniques. If the data forwarding behavior is</w:t>
        <w:br/>
        <w:tab/>
        <w:tab/>
        <w:tab/>
        <w:t>not properly documented by the hardware vendor, this might violate the</w:t>
        <w:br/>
        <w:tab/>
        <w:tab/>
        <w:tab/>
        <w:t>software vendor's expectation of how the hardware should behave.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CVE-2020-0551: A fault, microcode assist, or abort may allow transient</w:t>
        <w:br/>
        <w:tab/>
        <w:tab/>
        <w:tab/>
        <w:tab/>
        <w:t>load operations to forward malicious stale data to dependent</w:t>
        <w:br/>
        <w:tab/>
        <w:tab/>
        <w:tab/>
        <w:tab/>
        <w:t>operations executed by a victim, causing the victim to unintentionally</w:t>
        <w:br/>
        <w:tab/>
        <w:tab/>
        <w:tab/>
        <w:tab/>
        <w:t>access and potentially expose its own data over a covert channel.</w:t>
      </w:r>
    </w:p>
    <w:p>
      <w:r>
        <w:rPr>
          <w:b/>
        </w:rPr>
        <w:t xml:space="preserve">• </w:t>
      </w:r>
      <w:r>
        <w:t>CVE-2020-8698: A fast store forwarding predictor may allow store</w:t>
        <w:br/>
        <w:tab/>
        <w:tab/>
        <w:tab/>
        <w:tab/>
        <w:t>operations to forward incorrect data to transient load operations,</w:t>
        <w:br/>
        <w:tab/>
        <w:tab/>
        <w:tab/>
        <w:tab/>
        <w:t>potentially exposing data over a covert channel.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This weakness can be introduced by data speculation techniques,</w:t>
        <w:br/>
        <w:tab/>
        <w:tab/>
        <w:tab/>
        <w:tab/>
        <w:t>or when the processor pipeline is designed to check exception</w:t>
        <w:br/>
        <w:tab/>
        <w:tab/>
        <w:tab/>
        <w:tab/>
        <w:t>conditions concurrently with other operations. This weakness can also</w:t>
        <w:br/>
        <w:tab/>
        <w:tab/>
        <w:tab/>
        <w:tab/>
        <w:t>persist after a CWE-1421 weakness has been mitigated. For example,</w:t>
        <w:br/>
        <w:tab/>
        <w:tab/>
        <w:tab/>
        <w:tab/>
        <w:t>suppose that a processor can forward stale data from a shared</w:t>
        <w:br/>
        <w:tab/>
        <w:tab/>
        <w:tab/>
        <w:tab/>
        <w:t>microarchitectural buffer to dependent transient operations, and</w:t>
        <w:br/>
        <w:tab/>
        <w:tab/>
        <w:tab/>
        <w:tab/>
        <w:t>furthermore suppose that the processor has been patched to flush the</w:t>
        <w:br/>
        <w:tab/>
        <w:tab/>
        <w:tab/>
        <w:tab/>
        <w:t>buffer on context switches. This mitigates the CWE-1421 weakness, but the</w:t>
        <w:br/>
        <w:tab/>
        <w:tab/>
        <w:tab/>
        <w:tab/>
        <w:t>stale-data forwarding behavior may persist as a CWE-1422 weakness unless</w:t>
        <w:br/>
        <w:tab/>
        <w:tab/>
        <w:tab/>
        <w:tab/>
        <w:t>this behavior is also patched.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Memory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The hardware designer can attempt to prevent transient</w:t>
        <w:br/>
        <w:tab/>
        <w:tab/>
        <w:tab/>
        <w:tab/>
        <w:t>execution from causing observable discrepancies in specific covert</w:t>
        <w:br/>
        <w:tab/>
        <w:tab/>
        <w:tab/>
        <w:tab/>
        <w:t>channels. (Effectiveness: Limited)</w:t>
      </w:r>
    </w:p>
    <w:p>
      <w:r>
        <w:rPr>
          <w:b/>
        </w:rPr>
        <w:t xml:space="preserve">• </w:t>
      </w:r>
      <w:r>
        <w:t>Requirements: Processor designers, system software vendors, or other</w:t>
        <w:br/>
        <w:tab/>
        <w:tab/>
        <w:tab/>
        <w:tab/>
        <w:t>agents may choose to restrict the ability of unprivileged software to</w:t>
        <w:br/>
        <w:tab/>
        <w:tab/>
        <w:tab/>
        <w:tab/>
        <w:t>access to high-resolution timers that are commonly used to monitor</w:t>
        <w:br/>
        <w:tab/>
        <w:tab/>
        <w:tab/>
        <w:tab/>
        <w:t>covert channels. (Effectiveness: Defense in Depth)</w:t>
      </w:r>
    </w:p>
    <w:p>
      <w:r>
        <w:rPr>
          <w:b/>
        </w:rPr>
        <w:t xml:space="preserve">• </w:t>
      </w:r>
      <w:r>
        <w:t>Requirements: Processor designers may expose instructions or other</w:t>
        <w:br/>
        <w:tab/>
        <w:tab/>
        <w:tab/>
        <w:tab/>
        <w:t>architectural features that allow software to mitigate the effects of</w:t>
        <w:br/>
        <w:tab/>
        <w:tab/>
        <w:tab/>
        <w:tab/>
        <w:t>transient execution, but without disabling predictors. These features</w:t>
        <w:br/>
        <w:tab/>
        <w:tab/>
        <w:tab/>
        <w:tab/>
        <w:t>may also help to limit opportunities for data exposure. (Effectiveness: Moderate)</w:t>
      </w:r>
    </w:p>
    <w:p>
      <w:r>
        <w:rPr>
          <w:b/>
        </w:rPr>
        <w:t xml:space="preserve">• </w:t>
      </w:r>
      <w:r>
        <w:t>Requirements: Processor designers may expose registers (for example,</w:t>
        <w:br/>
        <w:tab/>
        <w:tab/>
        <w:tab/>
        <w:tab/>
        <w:t>control registers or model-specific registers) that allow privileged</w:t>
        <w:br/>
        <w:tab/>
        <w:tab/>
        <w:tab/>
        <w:tab/>
        <w:t>and/or user software to disable specific predictors or other hardware</w:t>
        <w:br/>
        <w:tab/>
        <w:tab/>
        <w:tab/>
        <w:tab/>
        <w:t>features that can cause confidential data to be exposed during</w:t>
        <w:br/>
        <w:tab/>
        <w:tab/>
        <w:tab/>
        <w:tab/>
        <w:t>transient execution. (Effectiveness: Limited)</w:t>
      </w:r>
    </w:p>
    <w:p>
      <w:r>
        <w:rPr>
          <w:b/>
        </w:rPr>
        <w:t xml:space="preserve">• </w:t>
      </w:r>
      <w:r>
        <w:t>Build and Compilation: Use software techniques (including the use of</w:t>
        <w:br/>
        <w:tab/>
        <w:tab/>
        <w:tab/>
        <w:tab/>
        <w:t>serialization instructions) that are intended to reduce the number of</w:t>
        <w:br/>
        <w:tab/>
        <w:tab/>
        <w:tab/>
        <w:tab/>
        <w:t>instructions that can be executed transiently after a processor event</w:t>
        <w:br/>
        <w:tab/>
        <w:tab/>
        <w:tab/>
        <w:tab/>
        <w:t>or misprediction. (Effectiveness: Incidental)</w:t>
      </w:r>
    </w:p>
    <w:p>
      <w:r>
        <w:rPr>
          <w:b/>
        </w:rPr>
        <w:t xml:space="preserve">• </w:t>
      </w:r>
      <w:r>
        <w:t>Build and Compilation: Isolate sandboxes or managed runtimes in separate address</w:t>
        <w:br/>
        <w:tab/>
        <w:tab/>
        <w:tab/>
        <w:tab/>
        <w:t>spaces (separate processes). (Effectiveness: High)</w:t>
      </w:r>
    </w:p>
    <w:p>
      <w:r>
        <w:rPr>
          <w:b/>
        </w:rPr>
        <w:t xml:space="preserve">• </w:t>
      </w:r>
      <w:r>
        <w:t>Build and Compilation: Include serialization instructions (for example, LFENCE)</w:t>
        <w:br/>
        <w:tab/>
        <w:tab/>
        <w:tab/>
        <w:tab/>
        <w:t>that prevent processor events or mis-predictions prior to the</w:t>
        <w:br/>
        <w:tab/>
        <w:tab/>
        <w:tab/>
        <w:tab/>
        <w:t>serialization instruction from causing transient execution after the</w:t>
        <w:br/>
        <w:tab/>
        <w:tab/>
        <w:tab/>
        <w:tab/>
        <w:t>serialization instruction. For some weaknesses, a serialization</w:t>
        <w:br/>
        <w:tab/>
        <w:tab/>
        <w:tab/>
        <w:tab/>
        <w:t>instruction can also prevent a processor event or a mis-prediction</w:t>
        <w:br/>
        <w:tab/>
        <w:tab/>
        <w:tab/>
        <w:tab/>
        <w:t>from occurring after the serialization instruction (for example,</w:t>
        <w:br/>
        <w:tab/>
        <w:tab/>
        <w:tab/>
        <w:tab/>
        <w:t>CVE-2018-3639 can allow a processor to predict that a load will not</w:t>
        <w:br/>
        <w:tab/>
        <w:tab/>
        <w:tab/>
        <w:tab/>
        <w:t>depend on an older store; a serialization instruction between the</w:t>
        <w:br/>
        <w:tab/>
        <w:tab/>
        <w:tab/>
        <w:tab/>
        <w:t>store and the load may allow the store to update memory and prevent</w:t>
        <w:br/>
        <w:tab/>
        <w:tab/>
        <w:tab/>
        <w:tab/>
        <w:t>the mis-prediction from happening at all). (Effectiveness: Moderate)</w:t>
      </w:r>
    </w:p>
    <w:p>
      <w:r>
        <w:rPr>
          <w:b/>
        </w:rPr>
        <w:t xml:space="preserve">• </w:t>
      </w:r>
      <w:r>
        <w:t>Build and Compilation: Use software techniques that can mitigate the</w:t>
        <w:br/>
        <w:tab/>
        <w:tab/>
        <w:tab/>
        <w:tab/>
        <w:t>consequences of transient execution. For example, address masking can</w:t>
        <w:br/>
        <w:tab/>
        <w:tab/>
        <w:tab/>
        <w:tab/>
        <w:t>be used in some circumstances to prevent out-of-bounds transient</w:t>
        <w:br/>
        <w:tab/>
        <w:tab/>
        <w:tab/>
        <w:tab/>
        <w:t>reads. (Effectiveness: Limited)</w:t>
      </w:r>
    </w:p>
    <w:p>
      <w:r>
        <w:rPr>
          <w:b/>
        </w:rPr>
        <w:t xml:space="preserve">• </w:t>
      </w:r>
      <w:r>
        <w:t>Build and Compilation: If the weakness is exposed by a single instruction (or a</w:t>
        <w:br/>
        <w:tab/>
        <w:tab/>
        <w:tab/>
        <w:tab/>
        <w:t>small set of instructions), then the compiler (or JIT, etc.) can be</w:t>
        <w:br/>
        <w:tab/>
        <w:tab/>
        <w:tab/>
        <w:tab/>
        <w:t>configured to prevent the affected instruction(s) from being</w:t>
        <w:br/>
        <w:tab/>
        <w:tab/>
        <w:tab/>
        <w:tab/>
        <w:t>generated, and instead generate an alternate sequence of instructions</w:t>
        <w:br/>
        <w:tab/>
        <w:tab/>
        <w:tab/>
        <w:tab/>
        <w:t>that is not affected by the weakness. (Effectiveness: Limited)</w:t>
      </w:r>
    </w:p>
    <w:p>
      <w:r>
        <w:rPr>
          <w:b/>
        </w:rPr>
        <w:t xml:space="preserve">• </w:t>
      </w:r>
      <w:r>
        <w:t>Documentation: If a hardware feature can allow incorrect or stale data</w:t>
        <w:br/>
        <w:tab/>
        <w:tab/>
        <w:tab/>
        <w:tab/>
        <w:t>to be forwarded to transient operations, the hardware designer may opt</w:t>
        <w:br/>
        <w:tab/>
        <w:tab/>
        <w:tab/>
        <w:tab/>
        <w:t>to disclose this behavior in architecture documentation. This</w:t>
        <w:br/>
        <w:tab/>
        <w:tab/>
        <w:tab/>
        <w:tab/>
        <w:t>documentation can inform users about potential consequences and</w:t>
        <w:br/>
        <w:tab/>
        <w:tab/>
        <w:tab/>
        <w:tab/>
        <w:t>effective mitigations. (Effectiveness: High)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A processor with this weakness will store the value of untrusted_arg</w:t>
        <w:br/>
        <w:tab/>
        <w:tab/>
        <w:tab/>
        <w:tab/>
        <w:t>(which may be provided by an attacker) to the stack, which is trusted</w:t>
        <w:br/>
        <w:tab/>
        <w:tab/>
        <w:tab/>
        <w:tab/>
        <w:t>memory. Additionally, this store operation will save this value in</w:t>
        <w:br/>
        <w:tab/>
        <w:tab/>
        <w:tab/>
        <w:tab/>
        <w:t>some microarchitectural buffer, for example, the store buffer. In this code sequence, trusted_ptr is dereferenced while the attacker</w:t>
        <w:br/>
        <w:tab/>
        <w:tab/>
        <w:tab/>
        <w:tab/>
        <w:t>forces a page fault. The faulting load causes the processor to</w:t>
        <w:br/>
        <w:tab/>
        <w:tab/>
        <w:tab/>
        <w:tab/>
        <w:t>mis-speculate by forwarding untrusted_arg as the (transient) load</w:t>
        <w:br/>
        <w:tab/>
        <w:tab/>
        <w:tab/>
        <w:tab/>
        <w:t>result. The processor then uses untrusted_arg for the pointer</w:t>
        <w:br/>
        <w:tab/>
        <w:tab/>
        <w:tab/>
        <w:tab/>
        <w:t>dereference. After the fault has been handled and the load has been</w:t>
        <w:br/>
        <w:tab/>
        <w:tab/>
        <w:tab/>
        <w:tab/>
        <w:t>re-issued with the correct argument, secret-dependent information</w:t>
        <w:br/>
        <w:tab/>
        <w:tab/>
        <w:tab/>
        <w:tab/>
        <w:t>stored at the address of trusted_ptr remains in microarchitectural</w:t>
        <w:br/>
        <w:tab/>
        <w:tab/>
        <w:tab/>
        <w:tab/>
        <w:t>state and can be extracted by an attacker using a vulnerable code</w:t>
        <w:br/>
        <w:tab/>
        <w:tab/>
        <w:tab/>
        <w:tab/>
        <w:t>sequence.</w:t>
      </w:r>
    </w:p>
    <w:p>
      <w:r>
        <w:rPr>
          <w:b/>
        </w:rPr>
        <w:t xml:space="preserve">• </w:t>
      </w:r>
      <w:r>
        <w:t>In this example, assume that the parameter idx can only be 0 or 1, and</w:t>
        <w:br/>
        <w:tab/>
        <w:tab/>
        <w:tab/>
        <w:tab/>
        <w:t>assume that idx_array initially contains all 0s. Observe that the</w:t>
        <w:br/>
        <w:tab/>
        <w:tab/>
        <w:tab/>
        <w:tab/>
        <w:t>assignment to v in line 4 will be array[0], regardless of whether</w:t>
        <w:br/>
        <w:tab/>
        <w:tab/>
        <w:tab/>
        <w:tab/>
        <w:t>idx=0 or idx=1. Now suppose that an attacker repeatedly invokes fn</w:t>
        <w:br/>
        <w:tab/>
        <w:tab/>
        <w:tab/>
        <w:tab/>
        <w:t>with idx=0 to train the store forwarding predictor to predict that the</w:t>
        <w:br/>
        <w:tab/>
        <w:tab/>
        <w:tab/>
        <w:tab/>
        <w:t>store in line 3 will forward the data 4096 to the load idx_array[idx]</w:t>
        <w:br/>
        <w:tab/>
        <w:tab/>
        <w:tab/>
        <w:tab/>
        <w:t>in line 4. Then, when the attacker invokes fn with idx=1 the predictor</w:t>
        <w:br/>
        <w:tab/>
        <w:tab/>
        <w:tab/>
        <w:tab/>
        <w:t>may cause idx_array[idx] to transiently produce the incorrect value</w:t>
        <w:br/>
        <w:tab/>
        <w:tab/>
        <w:tab/>
        <w:tab/>
        <w:t>4096, and therefore v will transiently be assigned the value</w:t>
        <w:br/>
        <w:tab/>
        <w:tab/>
        <w:tab/>
        <w:tab/>
        <w:t>array[4096], which otherwise would not have been accessible in line 4. Although this toy example is benign (it doesn't transmit array[4096]</w:t>
        <w:br/>
        <w:tab/>
        <w:tab/>
        <w:tab/>
        <w:tab/>
        <w:t>over a covert channel), an attacker may be able to use similar</w:t>
        <w:br/>
        <w:tab/>
        <w:tab/>
        <w:tab/>
        <w:tab/>
        <w:t>techniques to craft and train malicious code sequences to, for</w:t>
        <w:br/>
        <w:tab/>
        <w:tab/>
        <w:tab/>
        <w:tab/>
        <w:t>example, read data beyond a software sandbox boundary.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