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CWE-1394</w:t>
      </w:r>
    </w:p>
    <w:p>
      <w:pPr>
        <w:pStyle w:val="Heading2"/>
      </w:pPr>
      <w:r>
        <w:t>Description</w:t>
      </w:r>
    </w:p>
    <w:p>
      <w:r>
        <w:t>The product uses a default cryptographic key for potentially critical functionality.</w:t>
      </w:r>
    </w:p>
    <w:p>
      <w:pPr>
        <w:pStyle w:val="Heading2"/>
      </w:pPr>
      <w:r>
        <w:t>Extended Description</w:t>
      </w:r>
    </w:p>
    <w:p>
      <w:r>
        <w:t>It is common practice for products to be designed to use</w:t>
        <w:br/>
        <w:tab/>
        <w:t>default keys.  The rationale is to simplify the manufacturing</w:t>
        <w:br/>
        <w:tab/>
        <w:t>process or the system administrator's task of installation and</w:t>
        <w:br/>
        <w:tab/>
        <w:t>deployment into an enterprise. However, if admins do not</w:t>
        <w:br/>
        <w:tab/>
        <w:t>change the defaults, it is easier for attackers to bypass</w:t>
        <w:br/>
        <w:tab/>
        <w:t>authentication quickly across multiple organizations.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CVE-2018-3825: cloud cluster management product has a default master encryption key</w:t>
      </w:r>
    </w:p>
    <w:p>
      <w:r>
        <w:rPr>
          <w:b/>
        </w:rPr>
        <w:t xml:space="preserve">• </w:t>
      </w:r>
      <w:r>
        <w:t>CVE-2016-1561: backup storage product has a default SSH public key in the authorized_keys file, allowing root access</w:t>
      </w:r>
    </w:p>
    <w:p>
      <w:r>
        <w:rPr>
          <w:b/>
        </w:rPr>
        <w:t xml:space="preserve">• </w:t>
      </w:r>
      <w:r>
        <w:t>CVE-2010-2306: Intrusion Detection System (IDS) uses the same static, private SSL keys for multiple devices and installations, allowing decryption of SSL traffic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Gain Privileges or Assume Identity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Requirements: Prohibit use of default, hard-coded, or other values that do not vary for each installation of the product - especially for separate organizations. (Effectiveness: High)</w:t>
      </w:r>
    </w:p>
    <w:p>
      <w:r>
        <w:rPr>
          <w:b/>
        </w:rPr>
        <w:t xml:space="preserve">• </w:t>
      </w:r>
      <w:r>
        <w:t>Architecture and Design: Force the administrator to change the credential upon installation. (Effectiveness: High)</w:t>
      </w:r>
    </w:p>
    <w:p>
      <w:r>
        <w:rPr>
          <w:b/>
        </w:rPr>
        <w:t xml:space="preserve">• </w:t>
      </w:r>
      <w:r>
        <w:t>Installation: The product administrator could change the defaults upon installation or during operation. (Effectiveness: Moderate)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