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CWE-138</w:t>
      </w:r>
    </w:p>
    <w:p>
      <w:pPr>
        <w:pStyle w:val="Heading2"/>
      </w:pPr>
      <w:r>
        <w:t>Description</w:t>
      </w:r>
    </w:p>
    <w:p>
      <w:r>
        <w:t>The product receives input from an upstream component, but it does not neutralize or incorrectly neutralizes special elements that could be interpreted as control elements or syntactic markers when they are sent to a downstream component.</w:t>
      </w:r>
    </w:p>
    <w:p>
      <w:pPr>
        <w:pStyle w:val="Heading2"/>
      </w:pPr>
      <w:r>
        <w:t>Extended Description</w:t>
      </w:r>
    </w:p>
    <w:p>
      <w:r>
        <w:t>Most languages and protocols have their own special elements such as characters and reserved words. These special elements can carry control implications. If product does not prevent external control or influence over the inclusion of such special elements, the control flow of the program may be altered from what was intended. For example, both Unix and Windows interpret the symbol &lt; ("less than") as meaning "read input from a file".</w:t>
      </w:r>
    </w:p>
    <w:p>
      <w:pPr>
        <w:pStyle w:val="Heading2"/>
      </w:pPr>
      <w:r>
        <w:t>Threat-Mapped Scoring</w:t>
      </w:r>
    </w:p>
    <w:p>
      <w:r>
        <w:t>Score: 0.0</w:t>
      </w:r>
    </w:p>
    <w:p>
      <w:r>
        <w:t>Priority: Unclassified</w:t>
      </w:r>
    </w:p>
    <w:p>
      <w:pPr>
        <w:pStyle w:val="Heading2"/>
      </w:pPr>
      <w:r>
        <w:t>Observed Examples (CVEs)</w:t>
      </w:r>
    </w:p>
    <w:p>
      <w:r>
        <w:rPr>
          <w:b/>
        </w:rPr>
        <w:t xml:space="preserve">• </w:t>
      </w:r>
      <w:r>
        <w:t>CVE-2001-0677: Read arbitrary files from mail client by providing a special MIME header that is internally used to store pathnames for attachments.</w:t>
      </w:r>
    </w:p>
    <w:p>
      <w:r>
        <w:rPr>
          <w:b/>
        </w:rPr>
        <w:t xml:space="preserve">• </w:t>
      </w:r>
      <w:r>
        <w:t>CVE-2000-0703: Setuid program does not cleanse special escape sequence before sending data to a mail program, causing the mail program to process those sequences.</w:t>
      </w:r>
    </w:p>
    <w:p>
      <w:r>
        <w:rPr>
          <w:b/>
        </w:rPr>
        <w:t xml:space="preserve">• </w:t>
      </w:r>
      <w:r>
        <w:t>CVE-2003-0020: Multi-channel issue. Terminal escape sequences not filtered from log files.</w:t>
      </w:r>
    </w:p>
    <w:p>
      <w:r>
        <w:rPr>
          <w:b/>
        </w:rPr>
        <w:t xml:space="preserve">• </w:t>
      </w:r>
      <w:r>
        <w:t>CVE-2003-0083: Multi-channel issue. Terminal escape sequences not filtered from log files.</w:t>
      </w:r>
    </w:p>
    <w:p>
      <w:pPr>
        <w:pStyle w:val="Heading2"/>
      </w:pPr>
      <w:r>
        <w:t>Related Attack Patterns (CAPEC)</w:t>
      </w:r>
    </w:p>
    <w:p>
      <w:pPr>
        <w:pStyle w:val="ListBullet"/>
      </w:pPr>
      <w:r>
        <w:t>CAPEC-105</w:t>
      </w:r>
    </w:p>
    <w:p>
      <w:pPr>
        <w:pStyle w:val="ListBullet"/>
      </w:pPr>
      <w:r>
        <w:t>CAPEC-15</w:t>
      </w:r>
    </w:p>
    <w:p>
      <w:pPr>
        <w:pStyle w:val="ListBullet"/>
      </w:pPr>
      <w:r>
        <w:t>CAPEC-34</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Execute Unauthorized Code or Commands, Alter Execution Logic, DoS: Crash, Exit, or Restart — Notes: </w:t>
      </w:r>
    </w:p>
    <w:p>
      <w:pPr>
        <w:pStyle w:val="Heading2"/>
      </w:pPr>
      <w:r>
        <w:t>Potential Mitigations</w:t>
      </w:r>
    </w:p>
    <w:p>
      <w:r>
        <w:rPr>
          <w:b/>
        </w:rPr>
        <w:t xml:space="preserve">• </w:t>
      </w:r>
      <w:r>
        <w:t>Implementation: Developers should anticipate that special elements (e.g. delimiters, symbols) will be injected into input vectors of their product. One defense is to create an allowlist (e.g. a regular expression) that defines valid input according to the requirements specifications. Strictly filter any input that does not match against the allowlist. Properly encode your output, and quote any elements that have special meaning to the component with which you are communicating.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Use and specify an appropriate output encoding to ensure that the special elements are well-defined. A normal byte sequence in one encoding could be a special element in another.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This weakness can be related to interpretation conflicts or interaction errors in intermediaries (such as proxies or application firewalls) when the intermediary's model of an endpoint does not account for protocol-specific special elements.</w:t>
      </w:r>
    </w:p>
    <w:p>
      <w:r>
        <w:rPr>
          <w:b/>
        </w:rPr>
        <w:t xml:space="preserve">• </w:t>
      </w:r>
      <w:r>
        <w:t>Relationship: See this entry's children for different types of special elements that have been observed at one point or another. However, it can be difficult to find suitable CVE examples. In an attempt to be complete, CWE includes some types that do not have any associated observed example.</w:t>
      </w:r>
    </w:p>
    <w:p>
      <w:r>
        <w:rPr>
          <w:b/>
        </w:rPr>
        <w:t xml:space="preserve">• </w:t>
      </w:r>
      <w:r>
        <w:t>Research Gap: This weakness is probably under-studied for proprietary or custom formats. It is likely that these issues are fairly common in applications that use their own custom format for configuration files, logs, meta-data, messaging, etc. They would only be found by accident or with a focused effort based on an understanding of the format.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