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CWE-1292</w:t>
      </w:r>
    </w:p>
    <w:p>
      <w:pPr>
        <w:pStyle w:val="Heading2"/>
      </w:pPr>
      <w:r>
        <w:t>Description</w:t>
      </w:r>
    </w:p>
    <w:p>
      <w:r>
        <w:t>The product implements a conversion mechanism to map certain bus-transaction signals to security identifiers. However, if the conversion is incorrectly implemented, untrusted agents can gain unauthorized access to the asset.</w:t>
      </w:r>
    </w:p>
    <w:p>
      <w:pPr>
        <w:pStyle w:val="Heading2"/>
      </w:pPr>
      <w:r>
        <w:t>Extended Description</w:t>
      </w:r>
    </w:p>
    <w:p>
      <w:r>
        <w:t>In a System-On-Chip (SoC), various integrated circuits and hardware engines generate transactions such as to access (reads/writes) assets or perform certain actions (e.g., reset, fetch, compute, etc.). Among various types of message information, a typical transaction is comprised of source identity (to identify the originator of the transaction) and a destination identity (to route the transaction to the respective entity). Sometimes the transactions are qualified with a security identifier. This security identifier helps the destination agent decide on the set of allowed actions (e.g., access an asset for read and writes). A typical bus connects several leader and follower agents. Some follower agents implement bus protocols differently from leader agents. A protocol conversion happens at a bridge to seamlessly connect different protocols on the bus. One example is a system that implements a leader with the Advanced High-performance Bus (AHB) protocol and a follower with the Open-Core Protocol (OCP). A bridge AHB-to-OCP is needed to translate the transaction from one form to the other. A common weakness that can exist in this scenario is that this conversion between protocols is implemented incorrectly, whereupon an untrusted agent may gain unauthorized access to an asset.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Such issues could be introduced during hardware architecture and design, then identified later during Testing or System Configuration phases.</w:t>
      </w:r>
    </w:p>
    <w:p>
      <w:r>
        <w:rPr>
          <w:b/>
        </w:rPr>
        <w:t xml:space="preserve">• </w:t>
      </w:r>
      <w:r>
        <w:t>Implementation: Such issues could be introduced during hardware implementation, then identified later during Testing or System Configuration phases.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Read Memory, DoS: Resource Consumption (Other), Execute Unauthorized Code or Commands, Gain Privileges or Assume Identity,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Security identifier decoders must be reviewed for design inconsistency and common weaknesses. (Effectiveness: N/A)</w:t>
      </w:r>
    </w:p>
    <w:p>
      <w:r>
        <w:rPr>
          <w:b/>
        </w:rPr>
        <w:t xml:space="preserve">• </w:t>
      </w:r>
      <w:r>
        <w:t>Implementation: Access and programming flows must be tested in pre-silicon and post-silicon testing.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Because of the incorrect conversion, the security identifier information is either lost or could be modified in such a way that an untrusted leader can access the AES-Key registers.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