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CWE-1244</w:t>
      </w:r>
    </w:p>
    <w:p>
      <w:pPr>
        <w:pStyle w:val="Heading2"/>
      </w:pPr>
      <w:r>
        <w:t>Description</w:t>
      </w:r>
    </w:p>
    <w:p>
      <w:r>
        <w:t>The product uses physical debug or test</w:t>
        <w:br/>
        <w:t xml:space="preserve">        interfaces with support for multiple access levels, but it</w:t>
        <w:br/>
        <w:t xml:space="preserve">        assigns the wrong debug access level to an internal asset,</w:t>
        <w:br/>
        <w:t xml:space="preserve">        providing unintended access to the asset from untrusted debug</w:t>
        <w:br/>
        <w:t xml:space="preserve">        agents.</w:t>
      </w:r>
    </w:p>
    <w:p>
      <w:pPr>
        <w:pStyle w:val="Heading2"/>
      </w:pPr>
      <w:r>
        <w:t>Extended Description</w:t>
      </w:r>
    </w:p>
    <w:p>
      <w:r>
        <w:t>Debug authorization can have multiple levels of</w:t>
        <w:br/>
        <w:tab/>
        <w:t xml:space="preserve">  access, defined such that different system internal assets</w:t>
        <w:br/>
        <w:tab/>
        <w:t xml:space="preserve">  are accessible based on the current authorized debug</w:t>
        <w:br/>
        <w:tab/>
        <w:t xml:space="preserve">  level. Other than debugger authentication (e.g., using</w:t>
        <w:br/>
        <w:tab/>
        <w:t xml:space="preserve">  passwords or challenges), the authorization can also be</w:t>
        <w:br/>
        <w:tab/>
        <w:t xml:space="preserve">  based on the system state or boot stage. For example, full</w:t>
        <w:br/>
        <w:tab/>
        <w:t xml:space="preserve">  system debug access might only be allowed early in boot</w:t>
        <w:br/>
        <w:tab/>
        <w:t xml:space="preserve">  after a system reset to ensure that previous session data is</w:t>
        <w:br/>
        <w:tab/>
        <w:t xml:space="preserve">  not accessible to the authenticated debugger. If this protection mechanism does not ensure that</w:t>
        <w:br/>
        <w:t xml:space="preserve">          internal assets have the correct debug access level during</w:t>
        <w:br/>
        <w:t xml:space="preserve">          each boot stage or change in system state, an attacker could</w:t>
        <w:br/>
        <w:t xml:space="preserve">          obtain sensitive information from the internal asset using a</w:t>
        <w:br/>
        <w:t xml:space="preserve">          debugger.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CVE-2019-18827: After ROM code execution, JTAG access is disabled. But before the ROM code is executed, JTAG access is possible, allowing a user full system access.  This allows a user to modify the boot flow and successfully bypass the secure-boot process.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CAPEC-114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T1548: Abuse Elevation Control Mechanism</w:t>
      </w:r>
      <w:r>
        <w:t xml:space="preserve"> (Tactics: privilege-escalation,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Memory — Notes: </w:t>
      </w:r>
    </w:p>
    <w:p>
      <w:r>
        <w:rPr>
          <w:b/>
        </w:rPr>
        <w:t xml:space="preserve">• </w:t>
      </w:r>
      <w:r>
        <w:t xml:space="preserve">Impact: Modify Memory — Notes: </w:t>
      </w:r>
    </w:p>
    <w:p>
      <w:r>
        <w:rPr>
          <w:b/>
        </w:rPr>
        <w:t xml:space="preserve">• </w:t>
      </w:r>
      <w:r>
        <w:t xml:space="preserve">Impact: Gain Privileges or Assume Identity,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For security-sensitive assets accessible over debug/test interfaces, only allow trusted agents. (Effectiveness: High)</w:t>
      </w:r>
    </w:p>
    <w:p>
      <w:r>
        <w:rPr>
          <w:b/>
        </w:rPr>
        <w:t xml:space="preserve">• </w:t>
      </w:r>
      <w:r>
        <w:t>Architecture and Design: Apply blinding [REF-1219] or masking techniques in strategic areas. (Effectiveness: Limited)</w:t>
      </w:r>
    </w:p>
    <w:p>
      <w:r>
        <w:rPr>
          <w:b/>
        </w:rPr>
        <w:t xml:space="preserve">• </w:t>
      </w:r>
      <w:r>
        <w:t>Implementation: Add shielding or tamper-resistant protections to the device, which increases the difficulty and cost for accessing debug/test interfaces. (Effectiveness: Limited)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means that since the end user has access to JTAG at system reset and during ROM code execution before control is transferred to user software, a JTAG user can modify the boot flow and subsequently disclose all CPU information, including data-encryption keys.</w:t>
      </w:r>
    </w:p>
    <w:p>
      <w:r>
        <w:rPr>
          <w:b/>
        </w:rPr>
        <w:t xml:space="preserve">• </w:t>
      </w:r>
      <w:r>
        <w:t>The following code [REF-1377] illustrates an instance of a vulnerable implementation of debug mode. The core correctly checks if the debug requests have sufficient privileges and enables the debug_mode_d and debug_mode_q signals. It also correctly checks for debug password and enables umode_i signal.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CWE-1191 and CWE-1244 both involve physical debug access,</w:t>
        <w:br/>
        <w:tab/>
        <w:t xml:space="preserve">  but the weaknesses are different. CWE-1191 is effectively</w:t>
        <w:br/>
        <w:tab/>
        <w:t xml:space="preserve">  about missing authorization for a debug interface,</w:t>
        <w:br/>
        <w:tab/>
        <w:t xml:space="preserve">  i.e. JTAG.  CWE-1244 is about providing internal assets with</w:t>
        <w:br/>
        <w:tab/>
        <w:t xml:space="preserve">  the wrong debug access level, exposing the asset to</w:t>
        <w:br/>
        <w:tab/>
        <w:t xml:space="preserve">  untrusted debug agents.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