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CWE-1193</w:t>
      </w:r>
    </w:p>
    <w:p>
      <w:pPr>
        <w:pStyle w:val="Heading2"/>
      </w:pPr>
      <w:r>
        <w:t>Description</w:t>
      </w:r>
    </w:p>
    <w:p>
      <w:r>
        <w:t>The product enables components that contain untrusted firmware before memory and fabric access controls have been enabled.</w:t>
      </w:r>
    </w:p>
    <w:p>
      <w:pPr>
        <w:pStyle w:val="Heading2"/>
      </w:pPr>
      <w:r>
        <w:t>Extended Description</w:t>
      </w:r>
    </w:p>
    <w:p>
      <w:r>
        <w:t>After initial reset, System-on-Chip (SoC) fabric access controls and other</w:t>
        <w:br/>
        <w:t xml:space="preserve">           security features need to be programmed by trusted firmware as part</w:t>
        <w:br/>
        <w:t xml:space="preserve">           of the boot sequence. If untrusted IPs or peripheral microcontrollers</w:t>
        <w:br/>
        <w:tab/>
        <w:t xml:space="preserve">   are enabled first, then the untrusted component can master</w:t>
        <w:br/>
        <w:t xml:space="preserve">           transactions on the hardware bus and target memory or other assets to</w:t>
        <w:br/>
        <w:t xml:space="preserve">           compromise the SoC boot firmware.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</w:t>
      </w:r>
    </w:p>
    <w:p>
      <w:pPr>
        <w:pStyle w:val="ListBullet"/>
      </w:pPr>
      <w:r>
        <w:t>CAPEC-180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T1574.010: Services File Permissions Weakness</w:t>
      </w:r>
      <w:r>
        <w:t xml:space="preserve"> (Tactics: persistence, privilege-escalation, defense-evasion)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 — Notes: An untrusted component can master transactions on the HW bus and target memory or other assets to compromise the SoC boot firmware.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The boot sequence should enable fabric access controls and memory protections before enabling third-party hardware IPs and peripheral microcontrollers that use untrusted firmware. (Effectiveness: N/A)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