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CWE-1190</w:t>
      </w:r>
    </w:p>
    <w:p>
      <w:pPr>
        <w:pStyle w:val="Heading2"/>
      </w:pPr>
      <w:r>
        <w:t>Description</w:t>
      </w:r>
    </w:p>
    <w:p>
      <w:r>
        <w:t>The product enables a Direct Memory Access (DMA) capable device before the security configuration settings are established, which allows an attacker to extract data from or gain privileges on the product.</w:t>
      </w:r>
    </w:p>
    <w:p>
      <w:pPr>
        <w:pStyle w:val="Heading2"/>
      </w:pPr>
      <w:r>
        <w:t>Extended Description</w:t>
      </w:r>
    </w:p>
    <w:p>
      <w:r>
        <w:t>DMA is included in a number of devices because it allows</w:t>
        <w:br/>
        <w:t xml:space="preserve">              data transfer between the computer and the connected device, using</w:t>
        <w:br/>
        <w:t xml:space="preserve">              direct hardware access to read or write directly to main memory</w:t>
        <w:br/>
        <w:t xml:space="preserve">              without any OS interaction. An attacker could exploit this to</w:t>
        <w:br/>
        <w:t xml:space="preserve">              access secrets. Several virtualization-based mitigations have been introduced to thwart DMA attacks. These are usually</w:t>
        <w:br/>
        <w:t xml:space="preserve">              configured/setup during boot time. However, certain IPs that are</w:t>
        <w:br/>
        <w:t xml:space="preserve">              powered up before boot is complete (known as early boot IPs) may</w:t>
        <w:br/>
        <w:t xml:space="preserve">              be DMA capable. Such IPs, if not trusted, could launch DMA</w:t>
        <w:br/>
        <w:t xml:space="preserve">              attacks and gain access to assets that should otherwise be</w:t>
        <w:br/>
        <w:t xml:space="preserve">              protected.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CAPEC-180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T1574.010: Services File Permissions Weakness</w:t>
      </w:r>
      <w:r>
        <w:t xml:space="preserve"> (Tactics: persistence, privilege-escalation,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Modify Memory — Notes: DMA devices have direct write access to main memory and</w:t>
        <w:br/>
        <w:t xml:space="preserve">                 due to time of attack will be able to bypass OS or Bootloader</w:t>
        <w:br/>
        <w:t xml:space="preserve">                 access control.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Utilize an IOMMU to orchestrate IO access from</w:t>
        <w:br/>
        <w:t xml:space="preserve">                 the start of the boot process.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