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CWE-1125</w:t>
      </w:r>
    </w:p>
    <w:p>
      <w:pPr>
        <w:pStyle w:val="Heading2"/>
      </w:pPr>
      <w:r>
        <w:t>Description</w:t>
      </w:r>
    </w:p>
    <w:p>
      <w:r>
        <w:t>The product has an attack surface whose quantitative</w:t>
        <w:br/>
        <w:tab/>
        <w:tab/>
        <w:tab/>
        <w:tab/>
        <w:tab/>
        <w:t>measurement exceeds a desirable maximum.</w:t>
      </w:r>
    </w:p>
    <w:p>
      <w:pPr>
        <w:pStyle w:val="Heading2"/>
      </w:pPr>
      <w:r>
        <w:t>Extended Description</w:t>
      </w:r>
    </w:p>
    <w:p>
      <w:r>
        <w:t>Originating from software security, an "attack surface" measure typically reflects the number of input points and output points that can be utilized by an untrusted party, i.e. a potential attacker. A larger attack surface provides more places to attack, and more opportunities for developers to introduce weaknesses.  In some cases, this measure may reflect other aspects of quality besides security; e.g., a product with many inputs and outputs may require a large number of tests in order to improve code coverage.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