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CWE-1118</w:t>
      </w:r>
    </w:p>
    <w:p>
      <w:pPr>
        <w:pStyle w:val="Heading2"/>
      </w:pPr>
      <w:r>
        <w:t>Description</w:t>
      </w:r>
    </w:p>
    <w:p>
      <w:r>
        <w:t>The documentation does not sufficiently describe the techniques</w:t>
        <w:br/>
        <w:tab/>
        <w:tab/>
        <w:tab/>
        <w:tab/>
        <w:tab/>
        <w:t>that are used for error handling, exception processing, or similar</w:t>
        <w:br/>
        <w:tab/>
        <w:tab/>
        <w:tab/>
        <w:tab/>
        <w:tab/>
        <w:t>mechanisms.</w:t>
      </w:r>
    </w:p>
    <w:p>
      <w:pPr>
        <w:pStyle w:val="Heading2"/>
      </w:pPr>
      <w:r>
        <w:t>Extended Description</w:t>
      </w:r>
    </w:p>
    <w:p>
      <w:r>
        <w:t>Documentation may need to cover error handling techniques at multiple layers, such as module, executable, compilable code unit, or callable.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